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FC67F6">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default" w:ascii="宋体" w:hAnsi="宋体" w:eastAsia="宋体" w:cs="宋体"/>
          <w:b/>
          <w:bCs/>
          <w:sz w:val="32"/>
          <w:szCs w:val="32"/>
          <w:lang w:val="en-US" w:eastAsia="zh-CN"/>
        </w:rPr>
      </w:pPr>
      <w:r>
        <w:rPr>
          <w:rFonts w:hint="eastAsia" w:ascii="宋体" w:hAnsi="宋体" w:eastAsia="宋体" w:cs="宋体"/>
          <w:b/>
          <w:bCs/>
          <w:sz w:val="32"/>
          <w:szCs w:val="32"/>
          <w:lang w:val="en-US" w:eastAsia="zh-CN"/>
        </w:rPr>
        <w:drawing>
          <wp:anchor distT="0" distB="0" distL="114300" distR="114300" simplePos="0" relativeHeight="251662336" behindDoc="0" locked="0" layoutInCell="1" allowOverlap="1">
            <wp:simplePos x="0" y="0"/>
            <wp:positionH relativeFrom="page">
              <wp:posOffset>12141200</wp:posOffset>
            </wp:positionH>
            <wp:positionV relativeFrom="page">
              <wp:posOffset>11658600</wp:posOffset>
            </wp:positionV>
            <wp:extent cx="292100" cy="279400"/>
            <wp:effectExtent l="0" t="0" r="12700" b="6350"/>
            <wp:wrapNone/>
            <wp:docPr id="3"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00011"/>
                    <pic:cNvPicPr>
                      <a:picLocks noChangeAspect="1"/>
                    </pic:cNvPicPr>
                  </pic:nvPicPr>
                  <pic:blipFill>
                    <a:blip r:embed="rId6"/>
                    <a:stretch>
                      <a:fillRect/>
                    </a:stretch>
                  </pic:blipFill>
                  <pic:spPr>
                    <a:xfrm>
                      <a:off x="0" y="0"/>
                      <a:ext cx="292100" cy="279400"/>
                    </a:xfrm>
                    <a:prstGeom prst="rect">
                      <a:avLst/>
                    </a:prstGeom>
                    <a:noFill/>
                    <a:ln>
                      <a:noFill/>
                    </a:ln>
                  </pic:spPr>
                </pic:pic>
              </a:graphicData>
            </a:graphic>
          </wp:anchor>
        </w:drawing>
      </w:r>
      <w:r>
        <w:rPr>
          <w:rFonts w:hint="eastAsia" w:ascii="宋体" w:hAnsi="宋体" w:eastAsia="宋体" w:cs="宋体"/>
          <w:b/>
          <w:bCs/>
          <w:sz w:val="32"/>
          <w:szCs w:val="32"/>
          <w:lang w:val="en-US" w:eastAsia="zh-CN"/>
        </w:rPr>
        <w:t>高三政治选择题专练</w:t>
      </w:r>
    </w:p>
    <w:p w14:paraId="3753A7AE">
      <w:pPr>
        <w:spacing w:line="300" w:lineRule="exact"/>
        <w:jc w:val="center"/>
        <w:rPr>
          <w:rFonts w:ascii="黑体" w:hAnsi="黑体" w:eastAsia="黑体"/>
          <w:sz w:val="28"/>
          <w:szCs w:val="28"/>
        </w:rPr>
      </w:pPr>
      <w:r>
        <w:rPr>
          <w:rFonts w:hint="eastAsia" w:ascii="黑体" w:hAnsi="黑体" w:eastAsia="黑体"/>
          <w:sz w:val="28"/>
          <w:szCs w:val="28"/>
        </w:rPr>
        <w:t>“引进来和走出去”专题练习</w:t>
      </w:r>
    </w:p>
    <w:p w14:paraId="4A67371B">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1．下图是2013～2022年我国跨境电商市场交易规模和增速。据此可推断出的合理结论是（   ）</w:t>
      </w:r>
    </w:p>
    <w:p w14:paraId="0F1E12FA">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drawing>
          <wp:anchor distT="0" distB="0" distL="114300" distR="114300" simplePos="0" relativeHeight="251663360" behindDoc="1" locked="0" layoutInCell="1" allowOverlap="1">
            <wp:simplePos x="0" y="0"/>
            <wp:positionH relativeFrom="column">
              <wp:posOffset>3333115</wp:posOffset>
            </wp:positionH>
            <wp:positionV relativeFrom="paragraph">
              <wp:posOffset>140335</wp:posOffset>
            </wp:positionV>
            <wp:extent cx="2752725" cy="2096135"/>
            <wp:effectExtent l="0" t="0" r="9525" b="18415"/>
            <wp:wrapTight wrapText="bothSides">
              <wp:wrapPolygon>
                <wp:start x="0" y="0"/>
                <wp:lineTo x="0" y="21397"/>
                <wp:lineTo x="21525" y="21397"/>
                <wp:lineTo x="21525" y="0"/>
                <wp:lineTo x="0" y="0"/>
              </wp:wrapPolygon>
            </wp:wrapTight>
            <wp:docPr id="100003" name="图片 100003" descr="@@@3b19cdd09d584cb790380cb30a3e9c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descr="@@@3b19cdd09d584cb790380cb30a3e9cb2"/>
                    <pic:cNvPicPr>
                      <a:picLocks noChangeAspect="1"/>
                    </pic:cNvPicPr>
                  </pic:nvPicPr>
                  <pic:blipFill>
                    <a:blip r:embed="rId7"/>
                    <a:stretch>
                      <a:fillRect/>
                    </a:stretch>
                  </pic:blipFill>
                  <pic:spPr>
                    <a:xfrm>
                      <a:off x="0" y="0"/>
                      <a:ext cx="2752725" cy="2096135"/>
                    </a:xfrm>
                    <a:prstGeom prst="rect">
                      <a:avLst/>
                    </a:prstGeom>
                  </pic:spPr>
                </pic:pic>
              </a:graphicData>
            </a:graphic>
          </wp:anchor>
        </w:drawing>
      </w:r>
      <w:r>
        <w:rPr>
          <w:rFonts w:asciiTheme="minorEastAsia" w:hAnsiTheme="minorEastAsia" w:eastAsiaTheme="minorEastAsia"/>
          <w:szCs w:val="21"/>
        </w:rPr>
        <w:t>①中国“走出去”“引进来”步伐加快</w:t>
      </w:r>
    </w:p>
    <w:p w14:paraId="744AA6A0">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t>②中国不断扩大对外开放，促进全球自由贸易发展</w:t>
      </w:r>
    </w:p>
    <w:p w14:paraId="15D6F64A">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t>③跨境电商平台、机制体制不断健全，渠道不断拓宽</w:t>
      </w:r>
    </w:p>
    <w:p w14:paraId="0CD8E740">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t>④我国外贸出口竞争力不断提升</w:t>
      </w:r>
    </w:p>
    <w:p w14:paraId="51AAD208">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hint="eastAsia" w:asciiTheme="minorEastAsia" w:hAnsiTheme="minorEastAsia" w:eastAsiaTheme="minorEastAsia"/>
          <w:szCs w:val="21"/>
        </w:rPr>
        <w:t>A.</w:t>
      </w:r>
      <w:r>
        <w:rPr>
          <w:rFonts w:asciiTheme="minorEastAsia" w:hAnsiTheme="minorEastAsia" w:eastAsiaTheme="minorEastAsia"/>
          <w:szCs w:val="21"/>
        </w:rPr>
        <w:t>①②</w:t>
      </w:r>
      <w:r>
        <w:rPr>
          <w:rFonts w:asciiTheme="minorEastAsia" w:hAnsiTheme="minorEastAsia" w:eastAsiaTheme="minorEastAsia"/>
          <w:szCs w:val="21"/>
        </w:rPr>
        <w:tab/>
      </w:r>
      <w:r>
        <w:rPr>
          <w:rFonts w:hint="eastAsia" w:asciiTheme="minorEastAsia" w:hAnsiTheme="minorEastAsia" w:eastAsiaTheme="minorEastAsia"/>
          <w:szCs w:val="21"/>
        </w:rPr>
        <w:t xml:space="preserve"> </w:t>
      </w:r>
      <w:r>
        <w:rPr>
          <w:rFonts w:asciiTheme="minorEastAsia" w:hAnsiTheme="minorEastAsia" w:eastAsiaTheme="minorEastAsia"/>
          <w:color w:val="FF0000"/>
          <w:szCs w:val="21"/>
        </w:rPr>
        <w:t>B．②③</w:t>
      </w:r>
      <w:r>
        <w:rPr>
          <w:rFonts w:hint="eastAsia" w:asciiTheme="minorEastAsia" w:hAnsiTheme="minorEastAsia"/>
          <w:color w:val="FF0000"/>
          <w:szCs w:val="21"/>
          <w:lang w:val="en-US" w:eastAsia="zh-CN"/>
        </w:rPr>
        <w:t xml:space="preserve">  </w:t>
      </w:r>
      <w:r>
        <w:rPr>
          <w:rFonts w:hint="eastAsia" w:asciiTheme="minorEastAsia" w:hAnsiTheme="minorEastAsia"/>
          <w:szCs w:val="21"/>
          <w:lang w:val="en-US" w:eastAsia="zh-CN"/>
        </w:rPr>
        <w:t xml:space="preserve">   </w:t>
      </w:r>
      <w:r>
        <w:rPr>
          <w:rFonts w:hint="eastAsia" w:asciiTheme="minorEastAsia" w:hAnsiTheme="minorEastAsia" w:eastAsiaTheme="minorEastAsia"/>
          <w:szCs w:val="21"/>
        </w:rPr>
        <w:t>C.</w:t>
      </w:r>
      <w:r>
        <w:rPr>
          <w:rFonts w:asciiTheme="minorEastAsia" w:hAnsiTheme="minorEastAsia" w:eastAsiaTheme="minorEastAsia"/>
          <w:szCs w:val="21"/>
        </w:rPr>
        <w:t>①④</w:t>
      </w:r>
      <w:r>
        <w:rPr>
          <w:rFonts w:hint="eastAsia" w:asciiTheme="minorEastAsia" w:hAnsiTheme="minorEastAsia" w:eastAsiaTheme="minorEastAsia"/>
          <w:szCs w:val="21"/>
        </w:rPr>
        <w:t xml:space="preserve">     </w:t>
      </w:r>
      <w:r>
        <w:rPr>
          <w:rFonts w:asciiTheme="minorEastAsia" w:hAnsiTheme="minorEastAsia" w:eastAsiaTheme="minorEastAsia"/>
          <w:szCs w:val="21"/>
        </w:rPr>
        <w:t>D．②④</w:t>
      </w:r>
    </w:p>
    <w:p w14:paraId="38F1BD12">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2．港口是基础性、枢纽性设施，是经济发展的重要支撑。交通运输部发布数据显示，2023年上半年，全国港口完成货物吞吐量81.9亿吨，同比增长8%。其中，内贸、外贸吞吐量同比增长分别达7.6%、8.9%。港口运行良好为复杂形势下实现经济社会发展目标注入信心。港口运行保持良好态势给我国经济带来的直接影响是（   ）</w:t>
      </w:r>
    </w:p>
    <w:p w14:paraId="13679058">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t>①建设贸易强国，稳步扩大制度型开放</w:t>
      </w:r>
    </w:p>
    <w:p w14:paraId="47115FD2">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t>②保障产业链供应链畅通，促进国内国际双循环</w:t>
      </w:r>
    </w:p>
    <w:p w14:paraId="7ED2C803">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t>③提升消费品质，满足人民日益增长的美好生活需要</w:t>
      </w:r>
    </w:p>
    <w:p w14:paraId="1F455C95">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t>④提速“引进来”与“走出去”，助推高水平对外开放</w:t>
      </w:r>
    </w:p>
    <w:p w14:paraId="2441C541">
      <w:pPr>
        <w:keepNext w:val="0"/>
        <w:keepLines w:val="0"/>
        <w:pageBreakBefore w:val="0"/>
        <w:widowControl w:val="0"/>
        <w:kinsoku/>
        <w:wordWrap/>
        <w:overflowPunct/>
        <w:topLinePunct w:val="0"/>
        <w:autoSpaceDE/>
        <w:autoSpaceDN/>
        <w:bidi w:val="0"/>
        <w:adjustRightInd/>
        <w:snapToGrid/>
        <w:spacing w:line="260" w:lineRule="exact"/>
        <w:ind w:firstLine="630" w:firstLineChars="300"/>
        <w:textAlignment w:val="auto"/>
        <w:rPr>
          <w:rFonts w:asciiTheme="minorEastAsia" w:hAnsiTheme="minorEastAsia" w:eastAsiaTheme="minorEastAsia"/>
          <w:szCs w:val="21"/>
        </w:rPr>
      </w:pPr>
      <w:r>
        <w:rPr>
          <w:rFonts w:asciiTheme="minorEastAsia" w:hAnsiTheme="minorEastAsia" w:eastAsiaTheme="minorEastAsia"/>
          <w:szCs w:val="21"/>
        </w:rPr>
        <w:t>A．①③</w:t>
      </w:r>
      <w:r>
        <w:rPr>
          <w:rFonts w:hint="eastAsia" w:asciiTheme="minorEastAsia" w:hAnsiTheme="minorEastAsia" w:eastAsiaTheme="minorEastAsia"/>
          <w:szCs w:val="21"/>
        </w:rPr>
        <w:t xml:space="preserve">  </w:t>
      </w:r>
      <w:r>
        <w:rPr>
          <w:rFonts w:asciiTheme="minorEastAsia" w:hAnsiTheme="minorEastAsia" w:eastAsiaTheme="minorEastAsia"/>
          <w:szCs w:val="21"/>
        </w:rPr>
        <w:tab/>
      </w:r>
      <w:r>
        <w:rPr>
          <w:rFonts w:asciiTheme="minorEastAsia" w:hAnsiTheme="minorEastAsia" w:eastAsiaTheme="minorEastAsia"/>
          <w:szCs w:val="21"/>
        </w:rPr>
        <w:t>B．①④</w:t>
      </w:r>
      <w:r>
        <w:rPr>
          <w:rFonts w:hint="eastAsia" w:asciiTheme="minorEastAsia" w:hAnsiTheme="minorEastAsia" w:eastAsiaTheme="minorEastAsia"/>
          <w:szCs w:val="21"/>
        </w:rPr>
        <w:t xml:space="preserve">    </w:t>
      </w:r>
      <w:r>
        <w:rPr>
          <w:rFonts w:asciiTheme="minorEastAsia" w:hAnsiTheme="minorEastAsia" w:eastAsiaTheme="minorEastAsia"/>
          <w:szCs w:val="21"/>
        </w:rPr>
        <w:tab/>
      </w:r>
      <w:r>
        <w:rPr>
          <w:rFonts w:asciiTheme="minorEastAsia" w:hAnsiTheme="minorEastAsia" w:eastAsiaTheme="minorEastAsia"/>
          <w:color w:val="FF0000"/>
          <w:szCs w:val="21"/>
        </w:rPr>
        <w:t>C．②③</w:t>
      </w:r>
      <w:r>
        <w:rPr>
          <w:rFonts w:asciiTheme="minorEastAsia" w:hAnsiTheme="minorEastAsia" w:eastAsiaTheme="minorEastAsia"/>
          <w:szCs w:val="21"/>
        </w:rPr>
        <w:tab/>
      </w:r>
      <w:r>
        <w:rPr>
          <w:rFonts w:hint="eastAsia" w:asciiTheme="minorEastAsia" w:hAnsiTheme="minorEastAsia" w:eastAsiaTheme="minorEastAsia"/>
          <w:szCs w:val="21"/>
        </w:rPr>
        <w:t xml:space="preserve">       </w:t>
      </w:r>
      <w:r>
        <w:rPr>
          <w:rFonts w:asciiTheme="minorEastAsia" w:hAnsiTheme="minorEastAsia" w:eastAsiaTheme="minorEastAsia"/>
          <w:szCs w:val="21"/>
        </w:rPr>
        <w:t>D．②④</w:t>
      </w:r>
    </w:p>
    <w:p w14:paraId="4377CC37">
      <w:pPr>
        <w:keepNext w:val="0"/>
        <w:keepLines w:val="0"/>
        <w:pageBreakBefore w:val="0"/>
        <w:widowControl w:val="0"/>
        <w:kinsoku/>
        <w:wordWrap/>
        <w:overflowPunct/>
        <w:topLinePunct w:val="0"/>
        <w:autoSpaceDE/>
        <w:autoSpaceDN/>
        <w:bidi w:val="0"/>
        <w:adjustRightInd/>
        <w:snapToGrid/>
        <w:spacing w:line="260" w:lineRule="exact"/>
        <w:ind w:left="210" w:hanging="210" w:hangingChars="100"/>
        <w:textAlignment w:val="auto"/>
        <w:rPr>
          <w:szCs w:val="21"/>
        </w:rPr>
      </w:pPr>
      <w:r>
        <w:rPr>
          <w:szCs w:val="21"/>
        </w:rPr>
        <w:t>3．2023年1月18日，商务部公布了2022年全国实际利用外资成绩单。2022年我国实际使用外资金额超1.2万亿元，同比增长6.3%。其中，服务业利用外资增长4.8%，高技术产业利用外资增长31.7%，高技术制造业利用外资增长57.2%，高技术服务业利用外资增长25%。由此可推断出（   )</w:t>
      </w:r>
    </w:p>
    <w:p w14:paraId="4341E8F6">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szCs w:val="21"/>
        </w:rPr>
        <w:t>A．我国经济发展前景美好，吸引外资势头强劲，对外依存度在不断提高</w:t>
      </w:r>
    </w:p>
    <w:p w14:paraId="1F8C1C26">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szCs w:val="21"/>
        </w:rPr>
        <w:t>B．我国营商环境持续优化，创新对外投资方式，为世界各国提供新机遇</w:t>
      </w:r>
    </w:p>
    <w:p w14:paraId="5600630F">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szCs w:val="21"/>
        </w:rPr>
        <w:t>C．我国积极参与经济全球化，持续推动投资自由化便利化，不断优化外资利用结构</w:t>
      </w:r>
    </w:p>
    <w:p w14:paraId="3211420A">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szCs w:val="21"/>
        </w:rPr>
        <w:t>D．我国转变对外经济发展方式,不断拓展对外贸易,建设开放型世界经济</w:t>
      </w:r>
    </w:p>
    <w:p w14:paraId="207302D0">
      <w:pPr>
        <w:keepNext w:val="0"/>
        <w:keepLines w:val="0"/>
        <w:pageBreakBefore w:val="0"/>
        <w:widowControl w:val="0"/>
        <w:kinsoku/>
        <w:wordWrap/>
        <w:overflowPunct/>
        <w:topLinePunct w:val="0"/>
        <w:autoSpaceDE/>
        <w:autoSpaceDN/>
        <w:bidi w:val="0"/>
        <w:adjustRightInd/>
        <w:snapToGrid/>
        <w:spacing w:line="260" w:lineRule="exact"/>
        <w:ind w:left="210" w:hanging="210" w:hangingChars="100"/>
        <w:textAlignment w:val="auto"/>
        <w:rPr>
          <w:szCs w:val="21"/>
        </w:rPr>
      </w:pPr>
      <w:r>
        <w:rPr>
          <w:szCs w:val="21"/>
        </w:rPr>
        <w:t>4．第六届中国国际进口博览会（以下简称“进博会”）于2023年11月5日至10日在国家会展中心（上海）举办。国务院新闻办公室10月23日介绍，本届进博会预计将迎来154个国家、地区和国际组织的来宾，参展的世界500强和行业龙头企业数达289家……多项数据均创历史新高。我国举办进博会（   ）</w:t>
      </w:r>
    </w:p>
    <w:p w14:paraId="055A3269">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t>①体现我国支持贸易自由化和经济全球化，与世界共享发展机遇</w:t>
      </w:r>
    </w:p>
    <w:p w14:paraId="0F78F6EB">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t>②有利于优化国际产业布局，提高我国企业在全球分工中的地位</w:t>
      </w:r>
    </w:p>
    <w:p w14:paraId="32B580EA">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t>③能更有效地实现国内外市场的联通，推动建设开放型世界经济</w:t>
      </w:r>
    </w:p>
    <w:p w14:paraId="06429891">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t>④符合我国“引进来”的战略导向，促使我国成为全球进口大国</w:t>
      </w:r>
    </w:p>
    <w:p w14:paraId="66AEEC36">
      <w:pPr>
        <w:keepNext w:val="0"/>
        <w:keepLines w:val="0"/>
        <w:pageBreakBefore w:val="0"/>
        <w:widowControl w:val="0"/>
        <w:kinsoku/>
        <w:wordWrap/>
        <w:overflowPunct/>
        <w:topLinePunct w:val="0"/>
        <w:autoSpaceDE/>
        <w:autoSpaceDN/>
        <w:bidi w:val="0"/>
        <w:adjustRightInd/>
        <w:snapToGrid/>
        <w:spacing w:line="260" w:lineRule="exact"/>
        <w:ind w:firstLine="630" w:firstLineChars="300"/>
        <w:textAlignment w:val="auto"/>
        <w:rPr>
          <w:rFonts w:asciiTheme="minorEastAsia" w:hAnsiTheme="minorEastAsia" w:eastAsiaTheme="minorEastAsia"/>
          <w:szCs w:val="21"/>
        </w:rPr>
      </w:pPr>
      <w:r>
        <w:rPr>
          <w:rFonts w:asciiTheme="minorEastAsia" w:hAnsiTheme="minorEastAsia" w:eastAsiaTheme="minorEastAsia"/>
          <w:szCs w:val="21"/>
        </w:rPr>
        <w:t>A．①②</w:t>
      </w:r>
      <w:r>
        <w:rPr>
          <w:rFonts w:hint="eastAsia" w:asciiTheme="minorEastAsia" w:hAnsiTheme="minorEastAsia" w:eastAsiaTheme="minorEastAsia"/>
          <w:szCs w:val="21"/>
        </w:rPr>
        <w:t xml:space="preserve">     </w:t>
      </w:r>
      <w:r>
        <w:rPr>
          <w:rFonts w:asciiTheme="minorEastAsia" w:hAnsiTheme="minorEastAsia" w:eastAsiaTheme="minorEastAsia"/>
          <w:szCs w:val="21"/>
        </w:rPr>
        <w:tab/>
      </w:r>
      <w:r>
        <w:rPr>
          <w:rFonts w:asciiTheme="minorEastAsia" w:hAnsiTheme="minorEastAsia" w:eastAsiaTheme="minorEastAsia"/>
          <w:szCs w:val="21"/>
        </w:rPr>
        <w:t>B．①③</w:t>
      </w:r>
      <w:r>
        <w:rPr>
          <w:rFonts w:hint="eastAsia" w:asciiTheme="minorEastAsia" w:hAnsiTheme="minorEastAsia" w:eastAsiaTheme="minorEastAsia"/>
          <w:szCs w:val="21"/>
        </w:rPr>
        <w:t xml:space="preserve">      </w:t>
      </w:r>
      <w:r>
        <w:rPr>
          <w:rFonts w:asciiTheme="minorEastAsia" w:hAnsiTheme="minorEastAsia" w:eastAsiaTheme="minorEastAsia"/>
          <w:szCs w:val="21"/>
        </w:rPr>
        <w:tab/>
      </w:r>
      <w:r>
        <w:rPr>
          <w:rFonts w:asciiTheme="minorEastAsia" w:hAnsiTheme="minorEastAsia" w:eastAsiaTheme="minorEastAsia"/>
          <w:color w:val="FF0000"/>
          <w:szCs w:val="21"/>
        </w:rPr>
        <w:t>C．②④</w:t>
      </w:r>
      <w:r>
        <w:rPr>
          <w:rFonts w:hint="eastAsia" w:asciiTheme="minorEastAsia" w:hAnsiTheme="minorEastAsia" w:eastAsiaTheme="minorEastAsia"/>
          <w:szCs w:val="21"/>
        </w:rPr>
        <w:t xml:space="preserve">    </w:t>
      </w:r>
      <w:r>
        <w:rPr>
          <w:rFonts w:asciiTheme="minorEastAsia" w:hAnsiTheme="minorEastAsia" w:eastAsiaTheme="minorEastAsia"/>
          <w:szCs w:val="21"/>
        </w:rPr>
        <w:tab/>
      </w:r>
      <w:r>
        <w:rPr>
          <w:rFonts w:asciiTheme="minorEastAsia" w:hAnsiTheme="minorEastAsia" w:eastAsiaTheme="minorEastAsia"/>
          <w:szCs w:val="21"/>
        </w:rPr>
        <w:t>D．③④</w:t>
      </w:r>
    </w:p>
    <w:p w14:paraId="083FBD21">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5．2023年一季度，我国新设外商投资企业1.1万户，同比增长7.6%。2023年前4月，全国实际使用外资金额4994.6亿元人民币，同比增长2.2%。新设外商投资企业数量和实际使用外资金额均呈现稳中向好势头，有力证明开放中国依然是外商投资高地。这反映了（    ）</w:t>
      </w:r>
    </w:p>
    <w:p w14:paraId="63BC8EA4">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ajorEastAsia" w:hAnsiTheme="majorEastAsia" w:eastAsiaTheme="majorEastAsia"/>
          <w:szCs w:val="21"/>
        </w:rPr>
      </w:pPr>
      <w:r>
        <w:rPr>
          <w:rFonts w:asciiTheme="majorEastAsia" w:hAnsiTheme="majorEastAsia" w:eastAsiaTheme="majorEastAsia"/>
          <w:szCs w:val="21"/>
        </w:rPr>
        <w:t>①我国坚持对外开放的步伐没有停歇    ②我国外贸进出口呈现稳定增长态势</w:t>
      </w:r>
    </w:p>
    <w:p w14:paraId="783C0C0F">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ajorEastAsia" w:hAnsiTheme="majorEastAsia" w:eastAsiaTheme="majorEastAsia"/>
          <w:szCs w:val="21"/>
        </w:rPr>
      </w:pPr>
      <w:r>
        <w:rPr>
          <w:rFonts w:asciiTheme="majorEastAsia" w:hAnsiTheme="majorEastAsia" w:eastAsiaTheme="majorEastAsia"/>
          <w:szCs w:val="21"/>
        </w:rPr>
        <w:t>③我国为世界经济稳定发展提供机遇    ④我国成为全球资本对外投资的首选</w:t>
      </w:r>
    </w:p>
    <w:p w14:paraId="1B839A2E">
      <w:pPr>
        <w:keepNext w:val="0"/>
        <w:keepLines w:val="0"/>
        <w:pageBreakBefore w:val="0"/>
        <w:widowControl w:val="0"/>
        <w:kinsoku/>
        <w:wordWrap/>
        <w:overflowPunct/>
        <w:topLinePunct w:val="0"/>
        <w:autoSpaceDE/>
        <w:autoSpaceDN/>
        <w:bidi w:val="0"/>
        <w:adjustRightInd/>
        <w:snapToGrid/>
        <w:spacing w:line="260" w:lineRule="exact"/>
        <w:ind w:firstLine="630" w:firstLineChars="300"/>
        <w:textAlignment w:val="auto"/>
        <w:rPr>
          <w:rFonts w:asciiTheme="minorEastAsia" w:hAnsiTheme="minorEastAsia" w:eastAsiaTheme="minorEastAsia"/>
          <w:szCs w:val="21"/>
        </w:rPr>
      </w:pPr>
      <w:r>
        <w:rPr>
          <w:rFonts w:asciiTheme="minorEastAsia" w:hAnsiTheme="minorEastAsia" w:eastAsiaTheme="minorEastAsia"/>
          <w:color w:val="FF0000"/>
          <w:szCs w:val="21"/>
        </w:rPr>
        <w:t>A．①③</w:t>
      </w:r>
      <w:r>
        <w:rPr>
          <w:rFonts w:hint="eastAsia" w:asciiTheme="minorEastAsia" w:hAnsiTheme="minorEastAsia" w:eastAsiaTheme="minorEastAsia"/>
          <w:color w:val="FF0000"/>
          <w:szCs w:val="21"/>
        </w:rPr>
        <w:t xml:space="preserve"> </w:t>
      </w:r>
      <w:r>
        <w:rPr>
          <w:rFonts w:hint="eastAsia" w:asciiTheme="minorEastAsia" w:hAnsiTheme="minorEastAsia" w:eastAsiaTheme="minorEastAsia"/>
          <w:szCs w:val="21"/>
        </w:rPr>
        <w:t xml:space="preserve">    </w:t>
      </w:r>
      <w:r>
        <w:rPr>
          <w:rFonts w:asciiTheme="minorEastAsia" w:hAnsiTheme="minorEastAsia" w:eastAsiaTheme="minorEastAsia"/>
          <w:szCs w:val="21"/>
        </w:rPr>
        <w:tab/>
      </w:r>
      <w:r>
        <w:rPr>
          <w:rFonts w:asciiTheme="minorEastAsia" w:hAnsiTheme="minorEastAsia" w:eastAsiaTheme="minorEastAsia"/>
          <w:szCs w:val="21"/>
        </w:rPr>
        <w:t>B．①④</w:t>
      </w:r>
      <w:r>
        <w:rPr>
          <w:rFonts w:hint="eastAsia" w:asciiTheme="minorEastAsia" w:hAnsiTheme="minorEastAsia" w:eastAsiaTheme="minorEastAsia"/>
          <w:szCs w:val="21"/>
        </w:rPr>
        <w:t xml:space="preserve">      </w:t>
      </w:r>
      <w:r>
        <w:rPr>
          <w:rFonts w:asciiTheme="minorEastAsia" w:hAnsiTheme="minorEastAsia" w:eastAsiaTheme="minorEastAsia"/>
          <w:szCs w:val="21"/>
        </w:rPr>
        <w:tab/>
      </w:r>
      <w:r>
        <w:rPr>
          <w:rFonts w:asciiTheme="minorEastAsia" w:hAnsiTheme="minorEastAsia" w:eastAsiaTheme="minorEastAsia"/>
          <w:szCs w:val="21"/>
        </w:rPr>
        <w:t>C．②③</w:t>
      </w:r>
      <w:r>
        <w:rPr>
          <w:rFonts w:hint="eastAsia" w:asciiTheme="minorEastAsia" w:hAnsiTheme="minorEastAsia" w:eastAsiaTheme="minorEastAsia"/>
          <w:szCs w:val="21"/>
        </w:rPr>
        <w:t xml:space="preserve">     </w:t>
      </w:r>
      <w:r>
        <w:rPr>
          <w:rFonts w:asciiTheme="minorEastAsia" w:hAnsiTheme="minorEastAsia" w:eastAsiaTheme="minorEastAsia"/>
          <w:szCs w:val="21"/>
        </w:rPr>
        <w:tab/>
      </w:r>
      <w:r>
        <w:rPr>
          <w:rFonts w:asciiTheme="minorEastAsia" w:hAnsiTheme="minorEastAsia" w:eastAsiaTheme="minorEastAsia"/>
          <w:szCs w:val="21"/>
        </w:rPr>
        <w:t>D．②④</w:t>
      </w:r>
    </w:p>
    <w:p w14:paraId="1234DBB7">
      <w:pPr>
        <w:keepNext w:val="0"/>
        <w:keepLines w:val="0"/>
        <w:pageBreakBefore w:val="0"/>
        <w:widowControl w:val="0"/>
        <w:kinsoku/>
        <w:wordWrap/>
        <w:overflowPunct/>
        <w:topLinePunct w:val="0"/>
        <w:autoSpaceDE/>
        <w:autoSpaceDN/>
        <w:bidi w:val="0"/>
        <w:adjustRightInd/>
        <w:snapToGrid/>
        <w:spacing w:line="260" w:lineRule="exact"/>
        <w:textAlignment w:val="auto"/>
        <w:rPr>
          <w:rFonts w:asciiTheme="minorEastAsia" w:hAnsiTheme="minorEastAsia" w:eastAsiaTheme="minorEastAsia"/>
          <w:szCs w:val="21"/>
        </w:rPr>
      </w:pPr>
      <w:r>
        <w:rPr>
          <w:szCs w:val="21"/>
        </w:rPr>
        <w:t>6．近年来，我国跨境电商快速发展，在“买全球、卖全球”方面的优势和潜力持续释放，据海关统计，2022</w:t>
      </w:r>
      <w:r>
        <w:rPr>
          <w:rFonts w:asciiTheme="minorEastAsia" w:hAnsiTheme="minorEastAsia" w:eastAsiaTheme="minorEastAsia"/>
          <w:szCs w:val="21"/>
        </w:rPr>
        <w:t>年，我国跨境电商进出口规模占全国货物贸易进出口总值的4．9%，其中，出口1．53万亿元，增长10．1%，占全国出口总值的6．4%。关于我国跨境电商贸易快速发展的直接原因，以下推断合理的有（    ）</w:t>
      </w:r>
    </w:p>
    <w:p w14:paraId="7E17FB4A">
      <w:pPr>
        <w:keepNext w:val="0"/>
        <w:keepLines w:val="0"/>
        <w:pageBreakBefore w:val="0"/>
        <w:widowControl w:val="0"/>
        <w:kinsoku/>
        <w:wordWrap/>
        <w:overflowPunct/>
        <w:topLinePunct w:val="0"/>
        <w:autoSpaceDE/>
        <w:autoSpaceDN/>
        <w:bidi w:val="0"/>
        <w:adjustRightInd/>
        <w:snapToGrid/>
        <w:spacing w:line="260" w:lineRule="exact"/>
        <w:textAlignment w:val="auto"/>
        <w:rPr>
          <w:rFonts w:asciiTheme="minorEastAsia" w:hAnsiTheme="minorEastAsia" w:eastAsiaTheme="minorEastAsia"/>
          <w:szCs w:val="21"/>
        </w:rPr>
      </w:pPr>
      <w:r>
        <w:rPr>
          <w:rFonts w:asciiTheme="minorEastAsia" w:hAnsiTheme="minorEastAsia" w:eastAsiaTheme="minorEastAsia"/>
          <w:szCs w:val="21"/>
        </w:rPr>
        <w:t>①调整关税政策，释放了消费潜力</w:t>
      </w:r>
      <w:r>
        <w:rPr>
          <w:rFonts w:hint="eastAsia" w:asciiTheme="minorEastAsia" w:hAnsiTheme="minorEastAsia" w:eastAsiaTheme="minorEastAsia"/>
          <w:szCs w:val="21"/>
        </w:rPr>
        <w:t xml:space="preserve">   </w:t>
      </w:r>
      <w:r>
        <w:rPr>
          <w:rFonts w:asciiTheme="minorEastAsia" w:hAnsiTheme="minorEastAsia" w:eastAsiaTheme="minorEastAsia"/>
          <w:szCs w:val="21"/>
        </w:rPr>
        <w:t>②推动进出口贸易自由化，积极吸引外资</w:t>
      </w:r>
    </w:p>
    <w:p w14:paraId="2F4C78A3">
      <w:pPr>
        <w:keepNext w:val="0"/>
        <w:keepLines w:val="0"/>
        <w:pageBreakBefore w:val="0"/>
        <w:widowControl w:val="0"/>
        <w:kinsoku/>
        <w:wordWrap/>
        <w:overflowPunct/>
        <w:topLinePunct w:val="0"/>
        <w:autoSpaceDE/>
        <w:autoSpaceDN/>
        <w:bidi w:val="0"/>
        <w:adjustRightInd/>
        <w:snapToGrid/>
        <w:spacing w:line="260" w:lineRule="exact"/>
        <w:textAlignment w:val="auto"/>
        <w:rPr>
          <w:rFonts w:asciiTheme="minorEastAsia" w:hAnsiTheme="minorEastAsia" w:eastAsiaTheme="minorEastAsia"/>
          <w:szCs w:val="21"/>
        </w:rPr>
      </w:pPr>
      <w:r>
        <w:rPr>
          <w:rFonts w:asciiTheme="minorEastAsia" w:hAnsiTheme="minorEastAsia" w:eastAsiaTheme="minorEastAsia"/>
          <w:szCs w:val="21"/>
        </w:rPr>
        <w:t>③加强示范区建设，搭建发展平台</w:t>
      </w:r>
      <w:r>
        <w:rPr>
          <w:rFonts w:hint="eastAsia" w:asciiTheme="minorEastAsia" w:hAnsiTheme="minorEastAsia" w:eastAsiaTheme="minorEastAsia"/>
          <w:szCs w:val="21"/>
        </w:rPr>
        <w:t xml:space="preserve">   </w:t>
      </w:r>
      <w:r>
        <w:rPr>
          <w:rFonts w:asciiTheme="minorEastAsia" w:hAnsiTheme="minorEastAsia" w:eastAsiaTheme="minorEastAsia"/>
          <w:szCs w:val="21"/>
        </w:rPr>
        <w:t>④推动经济全球化，提升我国国际形象</w:t>
      </w:r>
    </w:p>
    <w:p w14:paraId="2CEE35C5">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asciiTheme="minorEastAsia" w:hAnsiTheme="minorEastAsia" w:eastAsiaTheme="minorEastAsia"/>
          <w:szCs w:val="21"/>
        </w:rPr>
      </w:pPr>
      <w:r>
        <w:rPr>
          <w:rFonts w:asciiTheme="minorEastAsia" w:hAnsiTheme="minorEastAsia" w:eastAsiaTheme="minorEastAsia"/>
          <w:szCs w:val="21"/>
        </w:rPr>
        <w:t>A．①②</w:t>
      </w:r>
      <w:r>
        <w:rPr>
          <w:rFonts w:hint="eastAsia" w:asciiTheme="minorEastAsia" w:hAnsiTheme="minorEastAsia" w:eastAsiaTheme="minorEastAsia"/>
          <w:szCs w:val="21"/>
        </w:rPr>
        <w:t xml:space="preserve">    </w:t>
      </w:r>
      <w:r>
        <w:rPr>
          <w:rFonts w:asciiTheme="minorEastAsia" w:hAnsiTheme="minorEastAsia" w:eastAsiaTheme="minorEastAsia"/>
          <w:szCs w:val="21"/>
        </w:rPr>
        <w:tab/>
      </w:r>
      <w:r>
        <w:rPr>
          <w:rFonts w:asciiTheme="minorEastAsia" w:hAnsiTheme="minorEastAsia" w:eastAsiaTheme="minorEastAsia"/>
          <w:color w:val="FF0000"/>
          <w:szCs w:val="21"/>
        </w:rPr>
        <w:t>B．①③</w:t>
      </w:r>
      <w:r>
        <w:rPr>
          <w:rFonts w:hint="eastAsia" w:asciiTheme="minorEastAsia" w:hAnsiTheme="minorEastAsia" w:eastAsiaTheme="minorEastAsia"/>
          <w:szCs w:val="21"/>
        </w:rPr>
        <w:t xml:space="preserve">      </w:t>
      </w:r>
      <w:r>
        <w:rPr>
          <w:rFonts w:asciiTheme="minorEastAsia" w:hAnsiTheme="minorEastAsia" w:eastAsiaTheme="minorEastAsia"/>
          <w:szCs w:val="21"/>
        </w:rPr>
        <w:tab/>
      </w:r>
      <w:r>
        <w:rPr>
          <w:rFonts w:asciiTheme="minorEastAsia" w:hAnsiTheme="minorEastAsia" w:eastAsiaTheme="minorEastAsia"/>
          <w:szCs w:val="21"/>
        </w:rPr>
        <w:t>C．②③</w:t>
      </w:r>
      <w:r>
        <w:rPr>
          <w:rFonts w:asciiTheme="minorEastAsia" w:hAnsiTheme="minorEastAsia" w:eastAsiaTheme="minorEastAsia"/>
          <w:szCs w:val="21"/>
        </w:rPr>
        <w:tab/>
      </w:r>
      <w:r>
        <w:rPr>
          <w:rFonts w:hint="eastAsia" w:asciiTheme="minorEastAsia" w:hAnsiTheme="minorEastAsia" w:eastAsiaTheme="minorEastAsia"/>
          <w:szCs w:val="21"/>
        </w:rPr>
        <w:t xml:space="preserve">       </w:t>
      </w:r>
      <w:r>
        <w:rPr>
          <w:rFonts w:asciiTheme="minorEastAsia" w:hAnsiTheme="minorEastAsia" w:eastAsiaTheme="minorEastAsia"/>
          <w:szCs w:val="21"/>
        </w:rPr>
        <w:t>D．③④</w:t>
      </w:r>
    </w:p>
    <w:p w14:paraId="0CA58184">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7．商务部最新数据显示，2023年1—9月，全国制造业实际使用外资金额2624.1亿元人民币，同比增长2.4%。其中，中国高技术制造业实际使用外资同比增长12.8%，医疗仪器设备及仪器仪表制造业、电子及通信设备制造业分别增长37.1%、21.5%。据此可以推断（    ）</w:t>
      </w:r>
    </w:p>
    <w:p w14:paraId="1098906C">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szCs w:val="21"/>
        </w:rPr>
        <w:t>A．中国引资结构更加优化，利用外资质量提升</w:t>
      </w:r>
      <w:r>
        <w:rPr>
          <w:szCs w:val="21"/>
        </w:rPr>
        <w:tab/>
      </w:r>
      <w:r>
        <w:rPr>
          <w:rFonts w:hint="eastAsia"/>
          <w:szCs w:val="21"/>
          <w:lang w:val="en-US" w:eastAsia="zh-CN"/>
        </w:rPr>
        <w:t xml:space="preserve">  </w:t>
      </w:r>
      <w:r>
        <w:rPr>
          <w:szCs w:val="21"/>
        </w:rPr>
        <w:t>B．中国金融市场更加成熟，外商投资风险降低</w:t>
      </w:r>
    </w:p>
    <w:p w14:paraId="2DC47C07">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szCs w:val="21"/>
        </w:rPr>
        <w:t>C．中国营商环境具有优势，外商竞争压力减轻</w:t>
      </w:r>
      <w:r>
        <w:rPr>
          <w:szCs w:val="21"/>
        </w:rPr>
        <w:tab/>
      </w:r>
      <w:r>
        <w:rPr>
          <w:rFonts w:hint="eastAsia"/>
          <w:szCs w:val="21"/>
          <w:lang w:val="en-US" w:eastAsia="zh-CN"/>
        </w:rPr>
        <w:t xml:space="preserve">  </w:t>
      </w:r>
      <w:r>
        <w:rPr>
          <w:rFonts w:asciiTheme="minorEastAsia" w:hAnsiTheme="minorEastAsia" w:eastAsiaTheme="minorEastAsia"/>
          <w:color w:val="FF0000"/>
          <w:szCs w:val="21"/>
        </w:rPr>
        <w:t>D．中国制造业产出效益高，</w:t>
      </w:r>
      <w:r>
        <w:rPr>
          <w:szCs w:val="21"/>
        </w:rPr>
        <w:t>成为外资投资首选</w:t>
      </w:r>
    </w:p>
    <w:p w14:paraId="520B8769">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rFonts w:hint="eastAsia"/>
          <w:szCs w:val="21"/>
        </w:rPr>
        <w:t>8.</w:t>
      </w:r>
      <w:r>
        <w:rPr>
          <w:szCs w:val="21"/>
        </w:rPr>
        <w:t>（2023·嘉兴海宁·三模）面对复杂严峻的国内外形势，2022年我国外贸实现了新的突破，进出口总额达到42.07万亿元，同比增长7.7%。其中，绿色低碳产品成为出口新动能，太阳能电池、锂电池的全年出口分别同比增长67.8%、86.7%，增速亮眼。这表明我国（）</w:t>
      </w:r>
    </w:p>
    <w:p w14:paraId="4E4D1454">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rFonts w:hint="eastAsia"/>
          <w:szCs w:val="21"/>
        </w:rPr>
        <w:t>①</w:t>
      </w:r>
      <w:r>
        <w:rPr>
          <w:szCs w:val="21"/>
        </w:rPr>
        <w:t>积极实施“走出去”，为世界经济做出贡献</w:t>
      </w:r>
      <w:r>
        <w:rPr>
          <w:rFonts w:hint="eastAsia"/>
          <w:szCs w:val="21"/>
        </w:rPr>
        <w:t xml:space="preserve">    </w:t>
      </w:r>
      <w:r>
        <w:rPr>
          <w:rFonts w:hint="eastAsia"/>
          <w:szCs w:val="21"/>
          <w:lang w:val="en-US" w:eastAsia="zh-CN"/>
        </w:rPr>
        <w:t xml:space="preserve">   </w:t>
      </w:r>
      <w:r>
        <w:rPr>
          <w:rFonts w:hint="eastAsia"/>
          <w:szCs w:val="21"/>
        </w:rPr>
        <w:t>②</w:t>
      </w:r>
      <w:r>
        <w:rPr>
          <w:szCs w:val="21"/>
        </w:rPr>
        <w:t>推进贸易强国建设，主动融入经济全球化进程</w:t>
      </w:r>
    </w:p>
    <w:p w14:paraId="16DF93A2">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rFonts w:hint="eastAsia"/>
          <w:szCs w:val="21"/>
        </w:rPr>
        <w:t>③</w:t>
      </w:r>
      <w:r>
        <w:rPr>
          <w:szCs w:val="21"/>
        </w:rPr>
        <w:t>优化出口产品结构，培育国际经济竞争新优势</w:t>
      </w:r>
    </w:p>
    <w:p w14:paraId="4BF22AEF">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rFonts w:hint="eastAsia"/>
          <w:szCs w:val="21"/>
        </w:rPr>
        <w:t>④</w:t>
      </w:r>
      <w:r>
        <w:rPr>
          <w:szCs w:val="21"/>
        </w:rPr>
        <w:t>逐步形成以技术、品牌、价格为核心的出口竞争新优势</w:t>
      </w:r>
    </w:p>
    <w:p w14:paraId="650725CC">
      <w:pPr>
        <w:keepNext w:val="0"/>
        <w:keepLines w:val="0"/>
        <w:pageBreakBefore w:val="0"/>
        <w:widowControl w:val="0"/>
        <w:kinsoku/>
        <w:wordWrap/>
        <w:overflowPunct/>
        <w:topLinePunct w:val="0"/>
        <w:autoSpaceDE/>
        <w:autoSpaceDN/>
        <w:bidi w:val="0"/>
        <w:adjustRightInd/>
        <w:snapToGrid/>
        <w:spacing w:line="260" w:lineRule="exact"/>
        <w:ind w:firstLine="630" w:firstLineChars="300"/>
        <w:textAlignment w:val="auto"/>
        <w:rPr>
          <w:szCs w:val="21"/>
        </w:rPr>
      </w:pPr>
      <w:r>
        <w:rPr>
          <w:szCs w:val="21"/>
        </w:rPr>
        <w:t>A．</w:t>
      </w:r>
      <w:r>
        <w:rPr>
          <w:rFonts w:hint="eastAsia"/>
          <w:szCs w:val="21"/>
        </w:rPr>
        <w:t xml:space="preserve">①②      </w:t>
      </w:r>
      <w:r>
        <w:rPr>
          <w:szCs w:val="21"/>
        </w:rPr>
        <w:t>B．</w:t>
      </w:r>
      <w:r>
        <w:rPr>
          <w:rFonts w:hint="eastAsia"/>
          <w:szCs w:val="21"/>
        </w:rPr>
        <w:t xml:space="preserve">①④      </w:t>
      </w:r>
      <w:r>
        <w:rPr>
          <w:rFonts w:asciiTheme="minorEastAsia" w:hAnsiTheme="minorEastAsia" w:eastAsiaTheme="minorEastAsia"/>
          <w:color w:val="FF0000"/>
          <w:szCs w:val="21"/>
        </w:rPr>
        <w:t>C．</w:t>
      </w:r>
      <w:r>
        <w:rPr>
          <w:rFonts w:hint="eastAsia" w:asciiTheme="minorEastAsia" w:hAnsiTheme="minorEastAsia" w:eastAsiaTheme="minorEastAsia"/>
          <w:color w:val="FF0000"/>
          <w:szCs w:val="21"/>
        </w:rPr>
        <w:t xml:space="preserve">②③ </w:t>
      </w:r>
      <w:r>
        <w:rPr>
          <w:rFonts w:hint="eastAsia"/>
          <w:szCs w:val="21"/>
        </w:rPr>
        <w:t xml:space="preserve">     </w:t>
      </w:r>
      <w:r>
        <w:rPr>
          <w:szCs w:val="21"/>
        </w:rPr>
        <w:t>D．</w:t>
      </w:r>
      <w:r>
        <w:rPr>
          <w:rFonts w:hint="eastAsia"/>
          <w:szCs w:val="21"/>
        </w:rPr>
        <w:t>③④</w:t>
      </w:r>
    </w:p>
    <w:p w14:paraId="1DD2AAF8">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rFonts w:hint="eastAsia"/>
          <w:szCs w:val="21"/>
        </w:rPr>
        <w:t>9.</w:t>
      </w:r>
      <w:r>
        <w:rPr>
          <w:szCs w:val="21"/>
        </w:rPr>
        <w:t>2023年一季度，我国货物贸易进出口总值9.89万亿元人民币，同比增长4.8%，其中，对“一带一路”沿线国家进出口增长16.8%，占进出口总值的34.6%，汽车、家用电器和蓄电池出口分别增长96.6%、3.2%和84.8%。这从一个侧面说明我国（）</w:t>
      </w:r>
    </w:p>
    <w:p w14:paraId="5AEAA94D">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rFonts w:hint="eastAsia"/>
          <w:szCs w:val="21"/>
        </w:rPr>
        <w:t>①</w:t>
      </w:r>
      <w:r>
        <w:rPr>
          <w:szCs w:val="21"/>
        </w:rPr>
        <w:t>不断优化对外投资结构</w:t>
      </w:r>
      <w:r>
        <w:rPr>
          <w:rFonts w:hint="eastAsia"/>
          <w:szCs w:val="21"/>
        </w:rPr>
        <w:t xml:space="preserve">        ②</w:t>
      </w:r>
      <w:r>
        <w:rPr>
          <w:szCs w:val="21"/>
        </w:rPr>
        <w:t>继续巩固贸易强国地位</w:t>
      </w:r>
    </w:p>
    <w:p w14:paraId="7F5F8908">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rFonts w:hint="eastAsia"/>
          <w:szCs w:val="21"/>
        </w:rPr>
        <w:t>③</w:t>
      </w:r>
      <w:r>
        <w:rPr>
          <w:szCs w:val="21"/>
        </w:rPr>
        <w:t>加快转变对外经济发展方式</w:t>
      </w:r>
      <w:r>
        <w:rPr>
          <w:rFonts w:hint="eastAsia"/>
          <w:szCs w:val="21"/>
        </w:rPr>
        <w:t xml:space="preserve">    ④</w:t>
      </w:r>
      <w:r>
        <w:rPr>
          <w:szCs w:val="21"/>
        </w:rPr>
        <w:t>积极发掘世界经济增长新动力</w:t>
      </w:r>
    </w:p>
    <w:p w14:paraId="5ED22BB3">
      <w:pPr>
        <w:keepNext w:val="0"/>
        <w:keepLines w:val="0"/>
        <w:pageBreakBefore w:val="0"/>
        <w:widowControl w:val="0"/>
        <w:kinsoku/>
        <w:wordWrap/>
        <w:overflowPunct/>
        <w:topLinePunct w:val="0"/>
        <w:autoSpaceDE/>
        <w:autoSpaceDN/>
        <w:bidi w:val="0"/>
        <w:adjustRightInd/>
        <w:snapToGrid/>
        <w:spacing w:line="260" w:lineRule="exact"/>
        <w:ind w:firstLine="630" w:firstLineChars="300"/>
        <w:textAlignment w:val="auto"/>
        <w:rPr>
          <w:rFonts w:asciiTheme="minorEastAsia" w:hAnsiTheme="minorEastAsia" w:eastAsiaTheme="minorEastAsia"/>
          <w:color w:val="FF0000"/>
          <w:szCs w:val="21"/>
        </w:rPr>
      </w:pPr>
      <w:r>
        <w:rPr>
          <w:szCs w:val="21"/>
        </w:rPr>
        <w:t>A．</w:t>
      </w:r>
      <w:r>
        <w:rPr>
          <w:rFonts w:hint="eastAsia"/>
          <w:szCs w:val="21"/>
        </w:rPr>
        <w:t xml:space="preserve">①②       </w:t>
      </w:r>
      <w:r>
        <w:rPr>
          <w:szCs w:val="21"/>
        </w:rPr>
        <w:t>B．</w:t>
      </w:r>
      <w:r>
        <w:rPr>
          <w:rFonts w:hint="eastAsia"/>
          <w:szCs w:val="21"/>
        </w:rPr>
        <w:t xml:space="preserve">①③       </w:t>
      </w:r>
      <w:r>
        <w:rPr>
          <w:szCs w:val="21"/>
        </w:rPr>
        <w:t>C．</w:t>
      </w:r>
      <w:r>
        <w:rPr>
          <w:rFonts w:hint="eastAsia"/>
          <w:szCs w:val="21"/>
        </w:rPr>
        <w:t xml:space="preserve">②④       </w:t>
      </w:r>
      <w:r>
        <w:rPr>
          <w:rFonts w:hint="eastAsia" w:asciiTheme="minorEastAsia" w:hAnsiTheme="minorEastAsia" w:eastAsiaTheme="minorEastAsia"/>
          <w:color w:val="FF0000"/>
          <w:szCs w:val="21"/>
        </w:rPr>
        <w:t xml:space="preserve"> </w:t>
      </w:r>
      <w:r>
        <w:rPr>
          <w:rFonts w:asciiTheme="minorEastAsia" w:hAnsiTheme="minorEastAsia" w:eastAsiaTheme="minorEastAsia"/>
          <w:color w:val="FF0000"/>
          <w:szCs w:val="21"/>
        </w:rPr>
        <w:t>D．</w:t>
      </w:r>
      <w:r>
        <w:rPr>
          <w:rFonts w:hint="eastAsia" w:asciiTheme="minorEastAsia" w:hAnsiTheme="minorEastAsia" w:eastAsiaTheme="minorEastAsia"/>
          <w:color w:val="FF0000"/>
          <w:szCs w:val="21"/>
        </w:rPr>
        <w:t>③④</w:t>
      </w:r>
    </w:p>
    <w:p w14:paraId="32DE6B8A">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rFonts w:hint="eastAsia"/>
          <w:szCs w:val="21"/>
        </w:rPr>
        <w:t>10</w:t>
      </w:r>
      <w:r>
        <w:rPr>
          <w:szCs w:val="21"/>
        </w:rPr>
        <w:t>．2023年1—8月服务贸易发展情况（部分）</w:t>
      </w:r>
    </w:p>
    <w:p w14:paraId="71AA5EA9">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注：其中，知识密集型服务进出口占服务进出口总额的42.6%，较上年同期提升0.9个百分点。</w:t>
      </w:r>
    </w:p>
    <w:tbl>
      <w:tblPr>
        <w:tblStyle w:val="5"/>
        <w:tblpPr w:leftFromText="180" w:rightFromText="180" w:vertAnchor="text" w:horzAnchor="page" w:tblpX="6934" w:tblpY="5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20" w:type="dxa"/>
          <w:left w:w="120" w:type="dxa"/>
          <w:bottom w:w="120" w:type="dxa"/>
          <w:right w:w="120" w:type="dxa"/>
        </w:tblCellMar>
      </w:tblPr>
      <w:tblGrid>
        <w:gridCol w:w="1725"/>
        <w:gridCol w:w="1303"/>
        <w:gridCol w:w="910"/>
      </w:tblGrid>
      <w:tr w14:paraId="7455F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172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09789F80">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项目</w:t>
            </w:r>
          </w:p>
        </w:tc>
        <w:tc>
          <w:tcPr>
            <w:tcW w:w="130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74172C8">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总额(亿元)</w:t>
            </w:r>
          </w:p>
        </w:tc>
        <w:tc>
          <w:tcPr>
            <w:tcW w:w="91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F5CC842">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增速</w:t>
            </w:r>
          </w:p>
        </w:tc>
      </w:tr>
      <w:tr w14:paraId="216FF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172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3DD39AF">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服务进出口</w:t>
            </w:r>
          </w:p>
        </w:tc>
        <w:tc>
          <w:tcPr>
            <w:tcW w:w="130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2D191F6">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42533.7</w:t>
            </w:r>
          </w:p>
        </w:tc>
        <w:tc>
          <w:tcPr>
            <w:tcW w:w="91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2E8D979">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8%</w:t>
            </w:r>
          </w:p>
        </w:tc>
      </w:tr>
      <w:tr w14:paraId="3FE65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172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4E04782">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服务出口</w:t>
            </w:r>
          </w:p>
        </w:tc>
        <w:tc>
          <w:tcPr>
            <w:tcW w:w="130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BC66A85">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17673.1</w:t>
            </w:r>
          </w:p>
        </w:tc>
        <w:tc>
          <w:tcPr>
            <w:tcW w:w="91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7C495EA0">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—7.40%</w:t>
            </w:r>
          </w:p>
        </w:tc>
      </w:tr>
      <w:tr w14:paraId="0269B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480" w:hRule="atLeast"/>
        </w:trPr>
        <w:tc>
          <w:tcPr>
            <w:tcW w:w="172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08647B7">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服务进口</w:t>
            </w:r>
          </w:p>
        </w:tc>
        <w:tc>
          <w:tcPr>
            <w:tcW w:w="130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5756A8A">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24860.6</w:t>
            </w:r>
          </w:p>
        </w:tc>
        <w:tc>
          <w:tcPr>
            <w:tcW w:w="91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F35E69C">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22.50%</w:t>
            </w:r>
          </w:p>
        </w:tc>
      </w:tr>
      <w:tr w14:paraId="5098B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172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C22FF54">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知识密集型服务进出口</w:t>
            </w:r>
          </w:p>
        </w:tc>
        <w:tc>
          <w:tcPr>
            <w:tcW w:w="130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47847B3">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18139.4</w:t>
            </w:r>
          </w:p>
        </w:tc>
        <w:tc>
          <w:tcPr>
            <w:tcW w:w="91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6370995">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10.40%</w:t>
            </w:r>
          </w:p>
        </w:tc>
      </w:tr>
      <w:tr w14:paraId="19E95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172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753FF49">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知识密集型服务出口</w:t>
            </w:r>
          </w:p>
        </w:tc>
        <w:tc>
          <w:tcPr>
            <w:tcW w:w="130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FEBC94F">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10513.6</w:t>
            </w:r>
          </w:p>
        </w:tc>
        <w:tc>
          <w:tcPr>
            <w:tcW w:w="91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66B2A57">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13.10%</w:t>
            </w:r>
          </w:p>
        </w:tc>
      </w:tr>
      <w:tr w14:paraId="29EC3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90" w:hRule="atLeast"/>
        </w:trPr>
        <w:tc>
          <w:tcPr>
            <w:tcW w:w="172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756A981F">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知识密集型服务进口</w:t>
            </w:r>
          </w:p>
        </w:tc>
        <w:tc>
          <w:tcPr>
            <w:tcW w:w="130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74B55859">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7625.8</w:t>
            </w:r>
          </w:p>
        </w:tc>
        <w:tc>
          <w:tcPr>
            <w:tcW w:w="91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75D97A8">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楷体" w:hAnsi="楷体" w:eastAsia="楷体" w:cs="楷体"/>
                <w:szCs w:val="21"/>
              </w:rPr>
            </w:pPr>
            <w:r>
              <w:rPr>
                <w:rFonts w:hint="eastAsia" w:ascii="楷体" w:hAnsi="楷体" w:eastAsia="楷体" w:cs="楷体"/>
                <w:szCs w:val="21"/>
              </w:rPr>
              <w:t>6.90%</w:t>
            </w:r>
          </w:p>
        </w:tc>
      </w:tr>
    </w:tbl>
    <w:p w14:paraId="52AECCDA">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由上图可以推断（   ）</w:t>
      </w:r>
    </w:p>
    <w:p w14:paraId="420FDA3A">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①我国服务贸易的国际比较优势提升</w:t>
      </w:r>
    </w:p>
    <w:p w14:paraId="61B98C8B">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②我国服务贸易的全球市场需求有所提升  </w:t>
      </w:r>
    </w:p>
    <w:p w14:paraId="6444D653">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③我国需要进一步维护多元稳定的经贸关系</w:t>
      </w:r>
    </w:p>
    <w:p w14:paraId="575E9AF1">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④知识密集型服务贸易为我国国际收支平衡作出主要贡献</w:t>
      </w:r>
    </w:p>
    <w:p w14:paraId="215D3A7A">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rFonts w:hint="eastAsia"/>
          <w:szCs w:val="21"/>
        </w:rPr>
        <w:t>A.</w:t>
      </w:r>
      <w:r>
        <w:rPr>
          <w:szCs w:val="21"/>
        </w:rPr>
        <w:t>①②</w:t>
      </w:r>
      <w:r>
        <w:rPr>
          <w:rFonts w:hint="eastAsia"/>
          <w:szCs w:val="21"/>
        </w:rPr>
        <w:t xml:space="preserve">  </w:t>
      </w:r>
      <w:r>
        <w:rPr>
          <w:rFonts w:hint="eastAsia" w:asciiTheme="minorEastAsia" w:hAnsiTheme="minorEastAsia" w:eastAsiaTheme="minorEastAsia"/>
          <w:color w:val="FF0000"/>
          <w:szCs w:val="21"/>
        </w:rPr>
        <w:t xml:space="preserve"> B．①③ </w:t>
      </w:r>
      <w:r>
        <w:rPr>
          <w:rFonts w:hint="eastAsia"/>
          <w:szCs w:val="21"/>
          <w:lang w:val="en-US" w:eastAsia="zh-CN"/>
        </w:rPr>
        <w:t xml:space="preserve">  </w:t>
      </w:r>
      <w:r>
        <w:rPr>
          <w:szCs w:val="21"/>
        </w:rPr>
        <w:t>C．②④</w:t>
      </w:r>
      <w:r>
        <w:rPr>
          <w:szCs w:val="21"/>
        </w:rPr>
        <w:tab/>
      </w:r>
      <w:r>
        <w:rPr>
          <w:rFonts w:hint="eastAsia"/>
          <w:szCs w:val="21"/>
        </w:rPr>
        <w:t xml:space="preserve">    </w:t>
      </w:r>
      <w:r>
        <w:rPr>
          <w:szCs w:val="21"/>
        </w:rPr>
        <w:t>D．③④</w:t>
      </w:r>
    </w:p>
    <w:p w14:paraId="7B6B3F16">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rFonts w:hint="eastAsia"/>
          <w:szCs w:val="21"/>
        </w:rPr>
        <w:t>11.</w:t>
      </w:r>
      <w:r>
        <w:rPr>
          <w:szCs w:val="21"/>
        </w:rPr>
        <w:t>2018年以来，中国已连续举办五届国际进口博览会，累计意向成交额近3500亿美元，约2000个首发首展商品亮相，让中国大市场成为中国大机遇。进博会的举办（</w:t>
      </w:r>
      <w:r>
        <w:rPr>
          <w:rFonts w:hint="eastAsia"/>
          <w:szCs w:val="21"/>
        </w:rPr>
        <w:t xml:space="preserve">   </w:t>
      </w:r>
      <w:r>
        <w:rPr>
          <w:szCs w:val="21"/>
        </w:rPr>
        <w:t>）</w:t>
      </w:r>
    </w:p>
    <w:p w14:paraId="53C0673E">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szCs w:val="21"/>
        </w:rPr>
        <w:t>A．推动了世界的和平和发展</w:t>
      </w:r>
    </w:p>
    <w:p w14:paraId="3CDD4785">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hint="eastAsia" w:asciiTheme="minorEastAsia" w:hAnsiTheme="minorEastAsia" w:eastAsiaTheme="minorEastAsia"/>
          <w:color w:val="FF0000"/>
          <w:szCs w:val="21"/>
        </w:rPr>
      </w:pPr>
      <w:r>
        <w:rPr>
          <w:rFonts w:hint="eastAsia" w:asciiTheme="minorEastAsia" w:hAnsiTheme="minorEastAsia" w:eastAsiaTheme="minorEastAsia"/>
          <w:color w:val="FF0000"/>
          <w:szCs w:val="21"/>
        </w:rPr>
        <w:t>B．扩大了各国的经济利益融合</w:t>
      </w:r>
    </w:p>
    <w:p w14:paraId="02690817">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szCs w:val="21"/>
        </w:rPr>
        <w:t>C．形成了我国出口竞争新优势</w:t>
      </w:r>
    </w:p>
    <w:p w14:paraId="161C4EB5">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szCs w:val="21"/>
        </w:rPr>
        <w:t>D．建立了国际政治经济新秩序</w:t>
      </w:r>
    </w:p>
    <w:p w14:paraId="354F64BB">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rFonts w:hint="eastAsia"/>
          <w:szCs w:val="21"/>
        </w:rPr>
        <w:t>12.</w:t>
      </w:r>
      <w:r>
        <w:rPr>
          <w:szCs w:val="21"/>
        </w:rPr>
        <w:t>中国国际贸易促进委员会调研显示，受访外资企业在华布局优先考虑的投资方向依次是新型工业化、绿色低碳产业、数字中国建设、乡村振兴、文化产业、金融服务。这说明我国（</w:t>
      </w:r>
      <w:r>
        <w:rPr>
          <w:rFonts w:hint="eastAsia"/>
          <w:szCs w:val="21"/>
          <w:lang w:val="en-US" w:eastAsia="zh-CN"/>
        </w:rPr>
        <w:t xml:space="preserve">    </w:t>
      </w:r>
      <w:r>
        <w:rPr>
          <w:szCs w:val="21"/>
        </w:rPr>
        <w:t>）</w:t>
      </w:r>
    </w:p>
    <w:p w14:paraId="335A2B99">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szCs w:val="21"/>
        </w:rPr>
        <w:t>A．致力打造出口竞争新优势</w:t>
      </w:r>
      <w:r>
        <w:rPr>
          <w:rFonts w:hint="eastAsia"/>
          <w:szCs w:val="21"/>
        </w:rPr>
        <w:t xml:space="preserve">    </w:t>
      </w:r>
      <w:r>
        <w:rPr>
          <w:szCs w:val="21"/>
        </w:rPr>
        <w:t>B．积极引进外资主导经济转型</w:t>
      </w:r>
    </w:p>
    <w:p w14:paraId="307EE7C8">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rFonts w:hint="eastAsia" w:asciiTheme="minorEastAsia" w:hAnsiTheme="minorEastAsia" w:eastAsiaTheme="minorEastAsia"/>
          <w:color w:val="FF0000"/>
          <w:szCs w:val="21"/>
        </w:rPr>
      </w:pPr>
      <w:r>
        <w:rPr>
          <w:szCs w:val="21"/>
        </w:rPr>
        <w:t>C．大力实施企业走出去战略</w:t>
      </w:r>
      <w:r>
        <w:rPr>
          <w:rFonts w:hint="eastAsia"/>
          <w:szCs w:val="21"/>
        </w:rPr>
        <w:t xml:space="preserve">   </w:t>
      </w:r>
      <w:r>
        <w:rPr>
          <w:rFonts w:hint="eastAsia" w:asciiTheme="minorEastAsia" w:hAnsiTheme="minorEastAsia" w:eastAsiaTheme="minorEastAsia"/>
          <w:color w:val="FF0000"/>
          <w:szCs w:val="21"/>
        </w:rPr>
        <w:t xml:space="preserve"> D．实施高水平投资自由化政策</w:t>
      </w:r>
    </w:p>
    <w:p w14:paraId="066904BA">
      <w:pPr>
        <w:keepNext w:val="0"/>
        <w:keepLines w:val="0"/>
        <w:pageBreakBefore w:val="0"/>
        <w:widowControl w:val="0"/>
        <w:kinsoku/>
        <w:wordWrap/>
        <w:overflowPunct/>
        <w:topLinePunct w:val="0"/>
        <w:autoSpaceDE/>
        <w:autoSpaceDN/>
        <w:bidi w:val="0"/>
        <w:adjustRightInd/>
        <w:snapToGrid/>
        <w:spacing w:line="260" w:lineRule="exact"/>
        <w:ind w:left="210" w:hanging="210" w:hangingChars="100"/>
        <w:textAlignment w:val="auto"/>
        <w:rPr>
          <w:szCs w:val="21"/>
        </w:rPr>
      </w:pPr>
      <w:r>
        <w:rPr>
          <w:rFonts w:hint="eastAsia"/>
          <w:szCs w:val="21"/>
        </w:rPr>
        <w:t>13.</w:t>
      </w:r>
      <w:r>
        <w:rPr>
          <w:szCs w:val="21"/>
        </w:rPr>
        <w:t>10年来，中国与“一带一路”沿线国家经济深度融合。中国已与151个国家、32个国际组织签署200余份共建“一带一路”合作文件。截至2022年底，中国企业在“一带一路”沿线国家建设的境外经贸合作区累计投资达571.3亿美元，为当地创造了42.1万个就业岗位……“一带一路”倡议不断转化为各国发展的实效。这表明（）</w:t>
      </w:r>
    </w:p>
    <w:p w14:paraId="23168A83">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rFonts w:hint="eastAsia"/>
          <w:szCs w:val="21"/>
        </w:rPr>
        <w:t>①</w:t>
      </w:r>
      <w:r>
        <w:rPr>
          <w:szCs w:val="21"/>
        </w:rPr>
        <w:t>我国的发展为世界各国的发展提供了机遇</w:t>
      </w:r>
      <w:r>
        <w:rPr>
          <w:rFonts w:hint="eastAsia"/>
          <w:szCs w:val="21"/>
        </w:rPr>
        <w:t xml:space="preserve">    ②</w:t>
      </w:r>
      <w:r>
        <w:rPr>
          <w:szCs w:val="21"/>
        </w:rPr>
        <w:t>我国实行高水平的投资自由化便利化政策</w:t>
      </w:r>
      <w:r>
        <w:rPr>
          <w:rFonts w:hint="eastAsia"/>
          <w:szCs w:val="21"/>
        </w:rPr>
        <w:t xml:space="preserve">   </w:t>
      </w:r>
    </w:p>
    <w:p w14:paraId="497E044E">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rFonts w:hint="eastAsia"/>
          <w:szCs w:val="21"/>
        </w:rPr>
        <w:t>③</w:t>
      </w:r>
      <w:r>
        <w:rPr>
          <w:szCs w:val="21"/>
        </w:rPr>
        <w:t>我国坚持正确的义利观不断拓展对外贸易</w:t>
      </w:r>
      <w:r>
        <w:rPr>
          <w:rFonts w:hint="eastAsia"/>
          <w:szCs w:val="21"/>
        </w:rPr>
        <w:t xml:space="preserve">   ④</w:t>
      </w:r>
      <w:r>
        <w:rPr>
          <w:szCs w:val="21"/>
        </w:rPr>
        <w:t>建设开放型世界经济可以增强全球化活力</w:t>
      </w:r>
    </w:p>
    <w:p w14:paraId="0B1BD98A">
      <w:pPr>
        <w:keepNext w:val="0"/>
        <w:keepLines w:val="0"/>
        <w:pageBreakBefore w:val="0"/>
        <w:widowControl w:val="0"/>
        <w:kinsoku/>
        <w:wordWrap/>
        <w:overflowPunct/>
        <w:topLinePunct w:val="0"/>
        <w:autoSpaceDE/>
        <w:autoSpaceDN/>
        <w:bidi w:val="0"/>
        <w:adjustRightInd/>
        <w:snapToGrid/>
        <w:spacing w:line="260" w:lineRule="exact"/>
        <w:ind w:firstLine="630" w:firstLineChars="300"/>
        <w:textAlignment w:val="auto"/>
        <w:rPr>
          <w:szCs w:val="21"/>
        </w:rPr>
      </w:pPr>
      <w:r>
        <w:rPr>
          <w:szCs w:val="21"/>
        </w:rPr>
        <w:t>A．</w:t>
      </w:r>
      <w:r>
        <w:rPr>
          <w:rFonts w:hint="eastAsia"/>
          <w:szCs w:val="21"/>
        </w:rPr>
        <w:t xml:space="preserve">①②      </w:t>
      </w:r>
      <w:r>
        <w:rPr>
          <w:rFonts w:hint="eastAsia" w:asciiTheme="minorEastAsia" w:hAnsiTheme="minorEastAsia" w:eastAsiaTheme="minorEastAsia"/>
          <w:color w:val="FF0000"/>
          <w:szCs w:val="21"/>
        </w:rPr>
        <w:t xml:space="preserve"> B．①④   </w:t>
      </w:r>
      <w:r>
        <w:rPr>
          <w:rFonts w:hint="eastAsia"/>
          <w:szCs w:val="21"/>
        </w:rPr>
        <w:t xml:space="preserve">    </w:t>
      </w:r>
      <w:r>
        <w:rPr>
          <w:szCs w:val="21"/>
        </w:rPr>
        <w:t>C．</w:t>
      </w:r>
      <w:r>
        <w:rPr>
          <w:rFonts w:hint="eastAsia"/>
          <w:szCs w:val="21"/>
        </w:rPr>
        <w:t xml:space="preserve">②③       </w:t>
      </w:r>
      <w:r>
        <w:rPr>
          <w:szCs w:val="21"/>
        </w:rPr>
        <w:t>D．</w:t>
      </w:r>
      <w:r>
        <w:rPr>
          <w:rFonts w:hint="eastAsia"/>
          <w:szCs w:val="21"/>
        </w:rPr>
        <w:t>③④</w:t>
      </w:r>
    </w:p>
    <w:p w14:paraId="3BF5E140">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rFonts w:hint="eastAsia"/>
          <w:szCs w:val="21"/>
        </w:rPr>
        <w:t>14.</w:t>
      </w:r>
      <w:r>
        <w:rPr>
          <w:szCs w:val="21"/>
        </w:rPr>
        <w:t>2018年以来，中国已连续举办五届国际进口博览会，累计意向成交额近3500亿美元，约2000个首发首展商品亮相，让中国大市场成为世界大机遇。进博会的举办（）</w:t>
      </w:r>
    </w:p>
    <w:p w14:paraId="5FEADC19">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rFonts w:hint="eastAsia"/>
          <w:szCs w:val="21"/>
        </w:rPr>
        <w:t>①</w:t>
      </w:r>
      <w:r>
        <w:rPr>
          <w:szCs w:val="21"/>
        </w:rPr>
        <w:t>形成了我国出口竞争新优势</w:t>
      </w:r>
      <w:r>
        <w:rPr>
          <w:rFonts w:hint="eastAsia"/>
          <w:szCs w:val="21"/>
        </w:rPr>
        <w:t xml:space="preserve">      ③</w:t>
      </w:r>
      <w:r>
        <w:rPr>
          <w:szCs w:val="21"/>
        </w:rPr>
        <w:t>推动了世界多极化深入发展</w:t>
      </w:r>
    </w:p>
    <w:p w14:paraId="7DC01CFC">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rFonts w:hint="eastAsia"/>
          <w:szCs w:val="21"/>
        </w:rPr>
        <w:t>②</w:t>
      </w:r>
      <w:r>
        <w:rPr>
          <w:szCs w:val="21"/>
        </w:rPr>
        <w:t>促进了国内国际双循环的畅通</w:t>
      </w:r>
      <w:r>
        <w:rPr>
          <w:rFonts w:hint="eastAsia"/>
          <w:szCs w:val="21"/>
        </w:rPr>
        <w:t xml:space="preserve">    ④</w:t>
      </w:r>
      <w:r>
        <w:rPr>
          <w:szCs w:val="21"/>
        </w:rPr>
        <w:t>释放了推动高水平开放的信号</w:t>
      </w:r>
    </w:p>
    <w:p w14:paraId="6B26CF9B">
      <w:pPr>
        <w:keepNext w:val="0"/>
        <w:keepLines w:val="0"/>
        <w:pageBreakBefore w:val="0"/>
        <w:widowControl w:val="0"/>
        <w:kinsoku/>
        <w:wordWrap/>
        <w:overflowPunct/>
        <w:topLinePunct w:val="0"/>
        <w:autoSpaceDE/>
        <w:autoSpaceDN/>
        <w:bidi w:val="0"/>
        <w:adjustRightInd/>
        <w:snapToGrid/>
        <w:spacing w:line="260" w:lineRule="exact"/>
        <w:ind w:firstLine="420" w:firstLineChars="200"/>
        <w:textAlignment w:val="auto"/>
        <w:rPr>
          <w:rFonts w:hint="eastAsia" w:asciiTheme="minorEastAsia" w:hAnsiTheme="minorEastAsia" w:eastAsiaTheme="minorEastAsia"/>
          <w:color w:val="FF0000"/>
          <w:szCs w:val="21"/>
        </w:rPr>
      </w:pPr>
      <w:r>
        <w:rPr>
          <w:szCs w:val="21"/>
        </w:rPr>
        <w:t>A．</w:t>
      </w:r>
      <w:r>
        <w:rPr>
          <w:rFonts w:hint="eastAsia"/>
          <w:szCs w:val="21"/>
        </w:rPr>
        <w:t xml:space="preserve">①③      </w:t>
      </w:r>
      <w:r>
        <w:rPr>
          <w:szCs w:val="21"/>
        </w:rPr>
        <w:t>B．</w:t>
      </w:r>
      <w:r>
        <w:rPr>
          <w:rFonts w:hint="eastAsia"/>
          <w:szCs w:val="21"/>
        </w:rPr>
        <w:t xml:space="preserve">①④       </w:t>
      </w:r>
      <w:r>
        <w:rPr>
          <w:szCs w:val="21"/>
        </w:rPr>
        <w:t>C．</w:t>
      </w:r>
      <w:r>
        <w:rPr>
          <w:rFonts w:hint="eastAsia"/>
          <w:szCs w:val="21"/>
        </w:rPr>
        <w:t xml:space="preserve">②③      </w:t>
      </w:r>
      <w:r>
        <w:rPr>
          <w:rFonts w:hint="eastAsia" w:asciiTheme="minorEastAsia" w:hAnsiTheme="minorEastAsia" w:eastAsiaTheme="minorEastAsia"/>
          <w:color w:val="FF0000"/>
          <w:szCs w:val="21"/>
        </w:rPr>
        <w:t xml:space="preserve"> D．②④</w:t>
      </w:r>
    </w:p>
    <w:p w14:paraId="11136BC6">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rFonts w:hint="eastAsia"/>
          <w:szCs w:val="21"/>
        </w:rPr>
        <w:t>15.</w:t>
      </w:r>
      <w:r>
        <w:rPr>
          <w:szCs w:val="21"/>
        </w:rPr>
        <w:t>下表为2022全年我国对外贸易情况。（来源：海关总署）</w:t>
      </w:r>
    </w:p>
    <w:tbl>
      <w:tblPr>
        <w:tblStyle w:val="5"/>
        <w:tblpPr w:leftFromText="180" w:rightFromText="180" w:vertAnchor="text" w:horzAnchor="page" w:tblpX="2135" w:tblpY="18"/>
        <w:tblOverlap w:val="never"/>
        <w:tblW w:w="65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20" w:type="dxa"/>
          <w:left w:w="120" w:type="dxa"/>
          <w:bottom w:w="120" w:type="dxa"/>
          <w:right w:w="120" w:type="dxa"/>
        </w:tblCellMar>
      </w:tblPr>
      <w:tblGrid>
        <w:gridCol w:w="1665"/>
        <w:gridCol w:w="1362"/>
        <w:gridCol w:w="813"/>
        <w:gridCol w:w="725"/>
        <w:gridCol w:w="1993"/>
      </w:tblGrid>
      <w:tr w14:paraId="48C66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166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857CDD9">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指标</w:t>
            </w:r>
          </w:p>
        </w:tc>
        <w:tc>
          <w:tcPr>
            <w:tcW w:w="1362"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773A5E32">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进出口</w:t>
            </w:r>
          </w:p>
        </w:tc>
        <w:tc>
          <w:tcPr>
            <w:tcW w:w="81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0B7C747A">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出口</w:t>
            </w:r>
          </w:p>
        </w:tc>
        <w:tc>
          <w:tcPr>
            <w:tcW w:w="72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5D7ACE2">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进口</w:t>
            </w:r>
          </w:p>
        </w:tc>
        <w:tc>
          <w:tcPr>
            <w:tcW w:w="199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8EAD2AA">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p>
        </w:tc>
      </w:tr>
      <w:tr w14:paraId="6012C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166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07ED85E">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总量（万亿元）</w:t>
            </w:r>
          </w:p>
        </w:tc>
        <w:tc>
          <w:tcPr>
            <w:tcW w:w="1362"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0DC16B85">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42.07</w:t>
            </w:r>
          </w:p>
        </w:tc>
        <w:tc>
          <w:tcPr>
            <w:tcW w:w="81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1C7AEE5">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23.97</w:t>
            </w:r>
          </w:p>
        </w:tc>
        <w:tc>
          <w:tcPr>
            <w:tcW w:w="72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70D572B">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18.1</w:t>
            </w:r>
          </w:p>
        </w:tc>
        <w:tc>
          <w:tcPr>
            <w:tcW w:w="199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A05DEA4">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p>
        </w:tc>
      </w:tr>
      <w:tr w14:paraId="27FA1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166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BFE8A39">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同比增长</w:t>
            </w:r>
          </w:p>
        </w:tc>
        <w:tc>
          <w:tcPr>
            <w:tcW w:w="1362"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0294249">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7.7%</w:t>
            </w:r>
          </w:p>
        </w:tc>
        <w:tc>
          <w:tcPr>
            <w:tcW w:w="81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59636AF">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10.5%</w:t>
            </w:r>
          </w:p>
        </w:tc>
        <w:tc>
          <w:tcPr>
            <w:tcW w:w="72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796FFB53">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4.3%</w:t>
            </w:r>
          </w:p>
        </w:tc>
        <w:tc>
          <w:tcPr>
            <w:tcW w:w="1993"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AF30091">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p>
        </w:tc>
      </w:tr>
    </w:tbl>
    <w:p w14:paraId="09D837A8">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p>
    <w:p w14:paraId="6679FA62">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p>
    <w:p w14:paraId="1C6604F9">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p>
    <w:p w14:paraId="51C296A2">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p>
    <w:p w14:paraId="5371D2E3">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p>
    <w:p w14:paraId="6AC567C5">
      <w:pPr>
        <w:keepNext w:val="0"/>
        <w:keepLines w:val="0"/>
        <w:pageBreakBefore w:val="0"/>
        <w:widowControl w:val="0"/>
        <w:kinsoku/>
        <w:wordWrap/>
        <w:overflowPunct/>
        <w:topLinePunct w:val="0"/>
        <w:autoSpaceDE/>
        <w:autoSpaceDN/>
        <w:bidi w:val="0"/>
        <w:adjustRightInd/>
        <w:snapToGrid/>
        <w:spacing w:line="260" w:lineRule="exact"/>
        <w:textAlignment w:val="auto"/>
        <w:rPr>
          <w:rFonts w:ascii="楷体" w:hAnsi="楷体" w:eastAsia="楷体"/>
          <w:szCs w:val="21"/>
        </w:rPr>
      </w:pPr>
    </w:p>
    <w:p w14:paraId="2908EAD9">
      <w:pPr>
        <w:keepNext w:val="0"/>
        <w:keepLines w:val="0"/>
        <w:pageBreakBefore w:val="0"/>
        <w:widowControl w:val="0"/>
        <w:kinsoku/>
        <w:wordWrap/>
        <w:overflowPunct/>
        <w:topLinePunct w:val="0"/>
        <w:autoSpaceDE/>
        <w:autoSpaceDN/>
        <w:bidi w:val="0"/>
        <w:adjustRightInd/>
        <w:snapToGrid/>
        <w:spacing w:line="260" w:lineRule="exact"/>
        <w:textAlignment w:val="auto"/>
        <w:rPr>
          <w:rFonts w:ascii="楷体" w:hAnsi="楷体" w:eastAsia="楷体"/>
          <w:szCs w:val="21"/>
        </w:rPr>
      </w:pPr>
      <w:r>
        <w:rPr>
          <w:rFonts w:ascii="楷体" w:hAnsi="楷体" w:eastAsia="楷体"/>
          <w:szCs w:val="21"/>
        </w:rPr>
        <w:t>注：2022年，我国机电产品进出口20.66万亿元，增长2.5%，占进出口总值的49.1%。其中，太阳能电池、锂电池和汽车出口分别增长67.8%、86.7%和82.2%。</w:t>
      </w:r>
    </w:p>
    <w:p w14:paraId="231F5A06">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从中可以看出，我国（</w:t>
      </w:r>
      <w:r>
        <w:rPr>
          <w:rFonts w:hint="eastAsia"/>
          <w:szCs w:val="21"/>
          <w:lang w:val="en-US" w:eastAsia="zh-CN"/>
        </w:rPr>
        <w:t xml:space="preserve">    </w:t>
      </w:r>
      <w:r>
        <w:rPr>
          <w:szCs w:val="21"/>
        </w:rPr>
        <w:t>）</w:t>
      </w:r>
    </w:p>
    <w:p w14:paraId="32A5D44F">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rFonts w:hint="eastAsia"/>
          <w:szCs w:val="21"/>
        </w:rPr>
        <w:t>①</w:t>
      </w:r>
      <w:r>
        <w:rPr>
          <w:szCs w:val="21"/>
        </w:rPr>
        <w:t>适应新形势，坚持引进来和走出去并重</w:t>
      </w:r>
      <w:r>
        <w:rPr>
          <w:rFonts w:hint="eastAsia"/>
          <w:szCs w:val="21"/>
        </w:rPr>
        <w:t xml:space="preserve">   ②</w:t>
      </w:r>
      <w:r>
        <w:rPr>
          <w:szCs w:val="21"/>
        </w:rPr>
        <w:t>优化口岸营商环境，激发市场活力</w:t>
      </w:r>
    </w:p>
    <w:p w14:paraId="260DD2DF">
      <w:pPr>
        <w:keepNext w:val="0"/>
        <w:keepLines w:val="0"/>
        <w:pageBreakBefore w:val="0"/>
        <w:widowControl w:val="0"/>
        <w:kinsoku/>
        <w:wordWrap/>
        <w:overflowPunct/>
        <w:topLinePunct w:val="0"/>
        <w:autoSpaceDE/>
        <w:autoSpaceDN/>
        <w:bidi w:val="0"/>
        <w:adjustRightInd/>
        <w:snapToGrid/>
        <w:spacing w:line="260" w:lineRule="exact"/>
        <w:ind w:firstLine="210" w:firstLineChars="100"/>
        <w:textAlignment w:val="auto"/>
        <w:rPr>
          <w:szCs w:val="21"/>
        </w:rPr>
      </w:pPr>
      <w:r>
        <w:rPr>
          <w:rFonts w:hint="eastAsia"/>
          <w:szCs w:val="21"/>
        </w:rPr>
        <w:t>③</w:t>
      </w:r>
      <w:r>
        <w:rPr>
          <w:szCs w:val="21"/>
        </w:rPr>
        <w:t>进一步扩大开放，货物出口结构优化</w:t>
      </w:r>
      <w:r>
        <w:rPr>
          <w:rFonts w:hint="eastAsia"/>
          <w:szCs w:val="21"/>
        </w:rPr>
        <w:t xml:space="preserve">      ④</w:t>
      </w:r>
      <w:r>
        <w:rPr>
          <w:szCs w:val="21"/>
        </w:rPr>
        <w:t>拓展对外贸易，培育出口竞争新优势</w:t>
      </w:r>
    </w:p>
    <w:p w14:paraId="08048C4E">
      <w:pPr>
        <w:keepNext w:val="0"/>
        <w:keepLines w:val="0"/>
        <w:pageBreakBefore w:val="0"/>
        <w:widowControl w:val="0"/>
        <w:kinsoku/>
        <w:wordWrap/>
        <w:overflowPunct/>
        <w:topLinePunct w:val="0"/>
        <w:autoSpaceDE/>
        <w:autoSpaceDN/>
        <w:bidi w:val="0"/>
        <w:adjustRightInd/>
        <w:snapToGrid/>
        <w:spacing w:line="260" w:lineRule="exact"/>
        <w:ind w:firstLine="420" w:firstLineChars="200"/>
        <w:textAlignment w:val="auto"/>
        <w:rPr>
          <w:szCs w:val="21"/>
        </w:rPr>
      </w:pPr>
      <w:r>
        <w:rPr>
          <w:szCs w:val="21"/>
        </w:rPr>
        <w:t>A．</w:t>
      </w:r>
      <w:r>
        <w:rPr>
          <w:rFonts w:hint="eastAsia"/>
          <w:szCs w:val="21"/>
        </w:rPr>
        <w:t xml:space="preserve">①②      </w:t>
      </w:r>
      <w:r>
        <w:rPr>
          <w:szCs w:val="21"/>
        </w:rPr>
        <w:t>B．</w:t>
      </w:r>
      <w:r>
        <w:rPr>
          <w:rFonts w:hint="eastAsia"/>
          <w:szCs w:val="21"/>
        </w:rPr>
        <w:t xml:space="preserve">①④      </w:t>
      </w:r>
      <w:r>
        <w:rPr>
          <w:szCs w:val="21"/>
        </w:rPr>
        <w:t>C．</w:t>
      </w:r>
      <w:r>
        <w:rPr>
          <w:rFonts w:hint="eastAsia"/>
          <w:szCs w:val="21"/>
        </w:rPr>
        <w:t xml:space="preserve">②③       </w:t>
      </w:r>
      <w:r>
        <w:rPr>
          <w:rFonts w:hint="eastAsia" w:asciiTheme="minorEastAsia" w:hAnsiTheme="minorEastAsia" w:eastAsiaTheme="minorEastAsia"/>
          <w:color w:val="FF0000"/>
          <w:szCs w:val="21"/>
        </w:rPr>
        <w:t>D．③④</w:t>
      </w:r>
    </w:p>
    <w:tbl>
      <w:tblPr>
        <w:tblStyle w:val="5"/>
        <w:tblpPr w:leftFromText="180" w:rightFromText="180" w:vertAnchor="text" w:horzAnchor="page" w:tblpX="2181" w:tblpY="361"/>
        <w:tblOverlap w:val="never"/>
        <w:tblW w:w="8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20" w:type="dxa"/>
          <w:left w:w="120" w:type="dxa"/>
          <w:bottom w:w="120" w:type="dxa"/>
          <w:right w:w="120" w:type="dxa"/>
        </w:tblCellMar>
      </w:tblPr>
      <w:tblGrid>
        <w:gridCol w:w="675"/>
        <w:gridCol w:w="1425"/>
        <w:gridCol w:w="1140"/>
        <w:gridCol w:w="1446"/>
        <w:gridCol w:w="1108"/>
        <w:gridCol w:w="1442"/>
        <w:gridCol w:w="1165"/>
      </w:tblGrid>
      <w:tr w14:paraId="383DD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67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0C5EF495">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指标</w:t>
            </w:r>
          </w:p>
        </w:tc>
        <w:tc>
          <w:tcPr>
            <w:tcW w:w="142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0E97113E">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进出口总量</w:t>
            </w:r>
          </w:p>
        </w:tc>
        <w:tc>
          <w:tcPr>
            <w:tcW w:w="114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315625B">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同比增长</w:t>
            </w:r>
          </w:p>
        </w:tc>
        <w:tc>
          <w:tcPr>
            <w:tcW w:w="1446"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F3C179C">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进口总量</w:t>
            </w:r>
          </w:p>
        </w:tc>
        <w:tc>
          <w:tcPr>
            <w:tcW w:w="1108"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D00948B">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同比增长</w:t>
            </w:r>
          </w:p>
        </w:tc>
        <w:tc>
          <w:tcPr>
            <w:tcW w:w="1442"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60C6E26">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出口总量</w:t>
            </w:r>
          </w:p>
        </w:tc>
        <w:tc>
          <w:tcPr>
            <w:tcW w:w="116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BEF28A7">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同比增长</w:t>
            </w:r>
          </w:p>
        </w:tc>
      </w:tr>
      <w:tr w14:paraId="40014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67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FF56FFC">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数据</w:t>
            </w:r>
          </w:p>
        </w:tc>
        <w:tc>
          <w:tcPr>
            <w:tcW w:w="142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E304940">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346165亿元</w:t>
            </w:r>
          </w:p>
        </w:tc>
        <w:tc>
          <w:tcPr>
            <w:tcW w:w="114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C7AEA75">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9.5%</w:t>
            </w:r>
          </w:p>
        </w:tc>
        <w:tc>
          <w:tcPr>
            <w:tcW w:w="1446"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D121AD2">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149053亿元</w:t>
            </w:r>
          </w:p>
        </w:tc>
        <w:tc>
          <w:tcPr>
            <w:tcW w:w="1108"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A6409C5">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5.2%</w:t>
            </w:r>
          </w:p>
        </w:tc>
        <w:tc>
          <w:tcPr>
            <w:tcW w:w="1442"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1F78B36">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197113亿元</w:t>
            </w:r>
          </w:p>
        </w:tc>
        <w:tc>
          <w:tcPr>
            <w:tcW w:w="116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9A5F106">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szCs w:val="21"/>
              </w:rPr>
              <w:t>13%</w:t>
            </w:r>
          </w:p>
        </w:tc>
      </w:tr>
    </w:tbl>
    <w:p w14:paraId="7C053916">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rFonts w:hint="eastAsia"/>
          <w:szCs w:val="21"/>
        </w:rPr>
        <w:t>16.</w:t>
      </w:r>
      <w:r>
        <w:rPr>
          <w:szCs w:val="21"/>
        </w:rPr>
        <w:t>下表为我国2022年1—10月的货物进出口情况（来源：国家统计局），据图表信息，可以推断出我国（</w:t>
      </w:r>
      <w:r>
        <w:rPr>
          <w:rFonts w:hint="eastAsia"/>
          <w:szCs w:val="21"/>
          <w:lang w:val="en-US" w:eastAsia="zh-CN"/>
        </w:rPr>
        <w:t xml:space="preserve">   </w:t>
      </w:r>
      <w:r>
        <w:rPr>
          <w:szCs w:val="21"/>
        </w:rPr>
        <w:t>）</w:t>
      </w:r>
    </w:p>
    <w:p w14:paraId="553D042C">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szCs w:val="21"/>
        </w:rPr>
      </w:pPr>
    </w:p>
    <w:p w14:paraId="547E3881">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szCs w:val="21"/>
        </w:rPr>
      </w:pPr>
    </w:p>
    <w:p w14:paraId="253D6108">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szCs w:val="21"/>
        </w:rPr>
      </w:pPr>
    </w:p>
    <w:p w14:paraId="6C9277E3">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rFonts w:hint="eastAsia"/>
          <w:szCs w:val="21"/>
        </w:rPr>
        <w:t>①</w:t>
      </w:r>
      <w:r>
        <w:rPr>
          <w:szCs w:val="21"/>
        </w:rPr>
        <w:t>实施高水平投资自由化便利化政策</w:t>
      </w:r>
      <w:r>
        <w:rPr>
          <w:rFonts w:hint="eastAsia"/>
          <w:szCs w:val="21"/>
          <w:lang w:val="en-US" w:eastAsia="zh-CN"/>
        </w:rPr>
        <w:t xml:space="preserve">           </w:t>
      </w:r>
      <w:r>
        <w:rPr>
          <w:rFonts w:hint="eastAsia"/>
          <w:szCs w:val="21"/>
        </w:rPr>
        <w:t>②</w:t>
      </w:r>
      <w:r>
        <w:rPr>
          <w:szCs w:val="21"/>
        </w:rPr>
        <w:t>贸易逆差将扩大且有利于经济可持续发展</w:t>
      </w:r>
    </w:p>
    <w:p w14:paraId="3C20EBD3">
      <w:pPr>
        <w:keepNext w:val="0"/>
        <w:keepLines w:val="0"/>
        <w:pageBreakBefore w:val="0"/>
        <w:widowControl w:val="0"/>
        <w:kinsoku/>
        <w:wordWrap/>
        <w:overflowPunct/>
        <w:topLinePunct w:val="0"/>
        <w:autoSpaceDE/>
        <w:autoSpaceDN/>
        <w:bidi w:val="0"/>
        <w:adjustRightInd/>
        <w:snapToGrid/>
        <w:spacing w:line="260" w:lineRule="exact"/>
        <w:textAlignment w:val="auto"/>
        <w:rPr>
          <w:szCs w:val="21"/>
        </w:rPr>
      </w:pPr>
      <w:r>
        <w:rPr>
          <w:rFonts w:hint="eastAsia"/>
          <w:szCs w:val="21"/>
        </w:rPr>
        <w:t>③</w:t>
      </w:r>
      <w:r>
        <w:rPr>
          <w:szCs w:val="21"/>
        </w:rPr>
        <w:t>对外开放型经济水平得到很大提升</w:t>
      </w:r>
      <w:r>
        <w:rPr>
          <w:rFonts w:hint="eastAsia"/>
          <w:szCs w:val="21"/>
          <w:lang w:val="en-US" w:eastAsia="zh-CN"/>
        </w:rPr>
        <w:t xml:space="preserve">           </w:t>
      </w:r>
      <w:r>
        <w:rPr>
          <w:rFonts w:hint="eastAsia"/>
          <w:szCs w:val="21"/>
        </w:rPr>
        <w:t>④</w:t>
      </w:r>
      <w:r>
        <w:rPr>
          <w:szCs w:val="21"/>
        </w:rPr>
        <w:t>改革开放为世界经济发展作出了重要贡献</w:t>
      </w:r>
    </w:p>
    <w:p w14:paraId="6EC4D5CB">
      <w:pPr>
        <w:keepNext w:val="0"/>
        <w:keepLines w:val="0"/>
        <w:pageBreakBefore w:val="0"/>
        <w:widowControl w:val="0"/>
        <w:numPr>
          <w:ilvl w:val="0"/>
          <w:numId w:val="1"/>
        </w:numPr>
        <w:kinsoku/>
        <w:wordWrap/>
        <w:overflowPunct/>
        <w:topLinePunct w:val="0"/>
        <w:autoSpaceDE/>
        <w:autoSpaceDN/>
        <w:bidi w:val="0"/>
        <w:adjustRightInd/>
        <w:snapToGrid/>
        <w:spacing w:line="260" w:lineRule="exact"/>
        <w:ind w:firstLine="420" w:firstLineChars="200"/>
        <w:textAlignment w:val="auto"/>
        <w:rPr>
          <w:rFonts w:hint="eastAsia" w:asciiTheme="minorEastAsia" w:hAnsiTheme="minorEastAsia" w:eastAsiaTheme="minorEastAsia"/>
          <w:color w:val="FF0000"/>
          <w:szCs w:val="21"/>
        </w:rPr>
      </w:pPr>
      <w:r>
        <w:rPr>
          <w:rFonts w:hint="eastAsia"/>
          <w:szCs w:val="21"/>
        </w:rPr>
        <w:t xml:space="preserve">①②        </w:t>
      </w:r>
      <w:r>
        <w:rPr>
          <w:szCs w:val="21"/>
        </w:rPr>
        <w:t>B．</w:t>
      </w:r>
      <w:r>
        <w:rPr>
          <w:rFonts w:hint="eastAsia"/>
          <w:szCs w:val="21"/>
        </w:rPr>
        <w:t xml:space="preserve">①④       </w:t>
      </w:r>
      <w:r>
        <w:rPr>
          <w:szCs w:val="21"/>
        </w:rPr>
        <w:t>C．</w:t>
      </w:r>
      <w:r>
        <w:rPr>
          <w:rFonts w:hint="eastAsia"/>
          <w:szCs w:val="21"/>
        </w:rPr>
        <w:t xml:space="preserve">②③   </w:t>
      </w:r>
      <w:r>
        <w:rPr>
          <w:rFonts w:hint="eastAsia" w:asciiTheme="minorEastAsia" w:hAnsiTheme="minorEastAsia" w:eastAsiaTheme="minorEastAsia"/>
          <w:color w:val="FF0000"/>
          <w:szCs w:val="21"/>
        </w:rPr>
        <w:t xml:space="preserve">  D．③④</w:t>
      </w:r>
    </w:p>
    <w:p w14:paraId="150B116C">
      <w:pPr>
        <w:keepNext w:val="0"/>
        <w:keepLines w:val="0"/>
        <w:pageBreakBefore w:val="0"/>
        <w:widowControl w:val="0"/>
        <w:kinsoku/>
        <w:wordWrap/>
        <w:overflowPunct/>
        <w:topLinePunct w:val="0"/>
        <w:autoSpaceDE/>
        <w:autoSpaceDN/>
        <w:bidi w:val="0"/>
        <w:adjustRightInd/>
        <w:snapToGrid/>
        <w:spacing w:line="260" w:lineRule="exact"/>
        <w:jc w:val="center"/>
        <w:textAlignment w:val="center"/>
        <w:rPr>
          <w:rFonts w:hint="eastAsia" w:ascii="华文中宋" w:hAnsi="华文中宋" w:eastAsia="华文中宋" w:cs="华文中宋"/>
          <w:b/>
          <w:sz w:val="32"/>
          <w:szCs w:val="32"/>
        </w:rPr>
      </w:pPr>
    </w:p>
    <w:p w14:paraId="33EA769E">
      <w:pPr>
        <w:keepNext w:val="0"/>
        <w:keepLines w:val="0"/>
        <w:pageBreakBefore w:val="0"/>
        <w:widowControl w:val="0"/>
        <w:kinsoku/>
        <w:wordWrap/>
        <w:overflowPunct/>
        <w:topLinePunct w:val="0"/>
        <w:autoSpaceDE/>
        <w:autoSpaceDN/>
        <w:bidi w:val="0"/>
        <w:adjustRightInd/>
        <w:snapToGrid/>
        <w:spacing w:line="280" w:lineRule="exact"/>
        <w:ind w:firstLine="2249" w:firstLineChars="800"/>
        <w:textAlignment w:val="auto"/>
        <w:rPr>
          <w:rFonts w:ascii="黑体" w:hAnsi="黑体" w:eastAsia="黑体" w:cs="黑体"/>
          <w:b/>
          <w:bCs/>
          <w:sz w:val="28"/>
          <w:szCs w:val="36"/>
        </w:rPr>
      </w:pPr>
      <w:r>
        <w:rPr>
          <w:rFonts w:hint="eastAsia" w:ascii="黑体" w:hAnsi="黑体" w:eastAsia="黑体" w:cs="黑体"/>
          <w:b/>
          <w:bCs/>
          <w:sz w:val="28"/>
          <w:szCs w:val="36"/>
        </w:rPr>
        <w:t>“市场调节与宏观调控”专练</w:t>
      </w:r>
    </w:p>
    <w:p w14:paraId="43DEA519">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auto"/>
      </w:pPr>
      <w:r>
        <w:rPr>
          <w:rFonts w:hint="eastAsia"/>
        </w:rPr>
        <w:t>1.（2023·浙江金华·统考三模）2023年“3·15”晚会的主题是“用诚信之光照亮消费信心”。“隔空盗刷”短信，网络水军流量造假、手机竟成窃听器……“网络安全”“互联网治理”领域又双叒成了焦点话题。由此可见</w:t>
      </w:r>
    </w:p>
    <w:p w14:paraId="0EBF9217">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①市场调节不是万能的，有自发性的弊病   ②手机短信等公共物品不能由市场来调节</w:t>
      </w:r>
    </w:p>
    <w:p w14:paraId="6C9E0C09">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③需要健全社会征信体系来规范市场秩序   ④更应使市场在资源配置中起决定性作用</w:t>
      </w:r>
    </w:p>
    <w:p w14:paraId="165F2BDA">
      <w:pPr>
        <w:keepNext w:val="0"/>
        <w:keepLines w:val="0"/>
        <w:pageBreakBefore w:val="0"/>
        <w:widowControl w:val="0"/>
        <w:kinsoku/>
        <w:wordWrap/>
        <w:overflowPunct/>
        <w:topLinePunct w:val="0"/>
        <w:autoSpaceDE/>
        <w:autoSpaceDN/>
        <w:bidi w:val="0"/>
        <w:adjustRightInd/>
        <w:snapToGrid/>
        <w:spacing w:line="280" w:lineRule="exact"/>
        <w:ind w:firstLine="420" w:firstLineChars="200"/>
        <w:textAlignment w:val="auto"/>
      </w:pPr>
      <w:r>
        <w:rPr>
          <w:rFonts w:hint="eastAsia"/>
          <w:color w:val="FF0000"/>
        </w:rPr>
        <w:t>A．①③</w:t>
      </w:r>
      <w:r>
        <w:rPr>
          <w:rFonts w:hint="eastAsia"/>
        </w:rPr>
        <w:tab/>
      </w:r>
      <w:r>
        <w:rPr>
          <w:rFonts w:hint="eastAsia"/>
        </w:rPr>
        <w:t xml:space="preserve">   B．①④</w:t>
      </w:r>
      <w:r>
        <w:rPr>
          <w:rFonts w:hint="eastAsia"/>
        </w:rPr>
        <w:tab/>
      </w:r>
      <w:r>
        <w:rPr>
          <w:rFonts w:hint="eastAsia"/>
        </w:rPr>
        <w:t xml:space="preserve">      C．②③</w:t>
      </w:r>
      <w:r>
        <w:rPr>
          <w:rFonts w:hint="eastAsia"/>
        </w:rPr>
        <w:tab/>
      </w:r>
      <w:r>
        <w:rPr>
          <w:rFonts w:hint="eastAsia"/>
        </w:rPr>
        <w:t>D．②④</w:t>
      </w:r>
    </w:p>
    <w:p w14:paraId="0CA1D218">
      <w:pPr>
        <w:keepNext w:val="0"/>
        <w:keepLines w:val="0"/>
        <w:pageBreakBefore w:val="0"/>
        <w:widowControl w:val="0"/>
        <w:kinsoku/>
        <w:wordWrap/>
        <w:overflowPunct/>
        <w:topLinePunct w:val="0"/>
        <w:autoSpaceDE/>
        <w:autoSpaceDN/>
        <w:bidi w:val="0"/>
        <w:adjustRightInd/>
        <w:snapToGrid/>
        <w:spacing w:line="280" w:lineRule="exact"/>
        <w:textAlignment w:val="auto"/>
      </w:pPr>
      <w:r>
        <w:rPr>
          <w:rFonts w:hint="eastAsia"/>
        </w:rPr>
        <w:t>2.（2023·浙江·高考真题）由于国内取暖设备企业近年来不断提升产品品质，加之受到季节性和欧洲能源市场短期突发因素的影响，2022年前三季度，我国电热水器、电暖器等品类对欧洲出口实现快速增长，累计出口额分别为1.6亿美元、8.5亿美元。从中可以看出</w:t>
      </w:r>
    </w:p>
    <w:p w14:paraId="21862236">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rPr>
          <w:color w:val="FF0000"/>
        </w:rPr>
      </w:pPr>
      <w:r>
        <w:rPr>
          <w:rFonts w:hint="eastAsia"/>
          <w:color w:val="FF0000"/>
        </w:rPr>
        <w:t>A．市场在资源配置中发挥了作用</w:t>
      </w:r>
      <w:r>
        <w:rPr>
          <w:rFonts w:hint="eastAsia"/>
          <w:color w:val="FF0000"/>
        </w:rPr>
        <w:tab/>
      </w:r>
      <w:r>
        <w:rPr>
          <w:rFonts w:hint="eastAsia"/>
          <w:color w:val="FF0000"/>
        </w:rPr>
        <w:t xml:space="preserve">     </w:t>
      </w:r>
      <w:r>
        <w:rPr>
          <w:rFonts w:hint="eastAsia"/>
          <w:color w:val="FF0000"/>
          <w:lang w:val="en-US" w:eastAsia="zh-CN"/>
        </w:rPr>
        <w:t xml:space="preserve">          </w:t>
      </w:r>
      <w:r>
        <w:rPr>
          <w:rFonts w:hint="eastAsia"/>
        </w:rPr>
        <w:t>B．市场竞争能够增加行业利润</w:t>
      </w:r>
    </w:p>
    <w:p w14:paraId="02F05749">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C．生产要素市场和商品市场相互作用相互影响</w:t>
      </w:r>
      <w:r>
        <w:rPr>
          <w:rFonts w:hint="eastAsia"/>
        </w:rPr>
        <w:tab/>
      </w:r>
      <w:r>
        <w:rPr>
          <w:rFonts w:hint="eastAsia"/>
          <w:lang w:val="en-US" w:eastAsia="zh-CN"/>
        </w:rPr>
        <w:t xml:space="preserve">   </w:t>
      </w:r>
      <w:r>
        <w:rPr>
          <w:rFonts w:hint="eastAsia"/>
        </w:rPr>
        <w:t>D．统一开放的市场体系是资源配置的基础</w:t>
      </w:r>
    </w:p>
    <w:p w14:paraId="4F487026">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auto"/>
      </w:pPr>
      <w:r>
        <w:rPr>
          <w:rFonts w:hint="eastAsia"/>
        </w:rPr>
        <w:t>3.（2023·辽宁·模拟预测）近年来，辽宁省把营商环境作为事关振兴发展全局的重大问题来抓，不断加强营商环境建设，将其视为实施全面振兴新突破三年行动必须下好的先手棋、打好新时代“辽沈战役”必须拿下的关键仗。优化营商环境需要</w:t>
      </w:r>
    </w:p>
    <w:p w14:paraId="76B97BEA">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①建立统一开放、竞争有序的市场体系，提高资源配置效率和公平性</w:t>
      </w:r>
    </w:p>
    <w:p w14:paraId="3B077389">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②建立公平开放透明的市场规则，降低市场准入门槛以激发市场的活力</w:t>
      </w:r>
    </w:p>
    <w:p w14:paraId="534C81C6">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③建立健全社会征信体系，发挥道德的教化作用以滋养良好的社会环境</w:t>
      </w:r>
    </w:p>
    <w:p w14:paraId="206B2982">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④建设全领域由市场决定价格的机制，充分发挥市场在资源配置的决定性作用</w:t>
      </w:r>
    </w:p>
    <w:p w14:paraId="4D8280B4">
      <w:pPr>
        <w:keepNext w:val="0"/>
        <w:keepLines w:val="0"/>
        <w:pageBreakBefore w:val="0"/>
        <w:widowControl w:val="0"/>
        <w:kinsoku/>
        <w:wordWrap/>
        <w:overflowPunct/>
        <w:topLinePunct w:val="0"/>
        <w:autoSpaceDE/>
        <w:autoSpaceDN/>
        <w:bidi w:val="0"/>
        <w:adjustRightInd/>
        <w:snapToGrid/>
        <w:spacing w:line="280" w:lineRule="exact"/>
        <w:ind w:firstLine="630" w:firstLineChars="300"/>
        <w:textAlignment w:val="auto"/>
      </w:pPr>
      <w:r>
        <w:rPr>
          <w:rFonts w:hint="eastAsia"/>
          <w:color w:val="FF0000"/>
        </w:rPr>
        <w:t>A．①③</w:t>
      </w:r>
      <w:r>
        <w:rPr>
          <w:rFonts w:hint="eastAsia"/>
        </w:rPr>
        <w:tab/>
      </w:r>
      <w:r>
        <w:rPr>
          <w:rFonts w:hint="eastAsia"/>
        </w:rPr>
        <w:t xml:space="preserve">    B．②③</w:t>
      </w:r>
      <w:r>
        <w:rPr>
          <w:rFonts w:hint="eastAsia"/>
        </w:rPr>
        <w:tab/>
      </w:r>
      <w:r>
        <w:rPr>
          <w:rFonts w:hint="eastAsia"/>
        </w:rPr>
        <w:t xml:space="preserve">        C．①④</w:t>
      </w:r>
      <w:r>
        <w:rPr>
          <w:rFonts w:hint="eastAsia"/>
        </w:rPr>
        <w:tab/>
      </w:r>
      <w:r>
        <w:rPr>
          <w:rFonts w:hint="eastAsia"/>
        </w:rPr>
        <w:t xml:space="preserve">        D．②④</w:t>
      </w:r>
    </w:p>
    <w:p w14:paraId="2EEA1196">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auto"/>
      </w:pPr>
      <w:r>
        <w:rPr>
          <w:rFonts w:hint="eastAsia"/>
        </w:rPr>
        <w:t>4.（2023·丰台一模）当前，经济循环恢复，活力逐渐释放。为进一步提振市场信心，激发微观主体活力，中国人民银行可以采取的措施及其传导路径正确的是</w:t>
      </w:r>
    </w:p>
    <w:p w14:paraId="442DF1E7">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A．适度扩大财政支出→增加社会投资规模→促进经济发展</w:t>
      </w:r>
    </w:p>
    <w:p w14:paraId="57B1C18C">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B．加大减税降费力度→减轻企业负担→增加企业的生产投入</w:t>
      </w:r>
    </w:p>
    <w:p w14:paraId="76D00728">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rPr>
          <w:color w:val="FF0000"/>
        </w:rPr>
      </w:pPr>
      <w:r>
        <w:rPr>
          <w:rFonts w:hint="eastAsia"/>
          <w:color w:val="FF0000"/>
        </w:rPr>
        <w:t>C．降低存款准备金率→保持流动性合理充裕→激发市场活力</w:t>
      </w:r>
    </w:p>
    <w:p w14:paraId="048EE9F5">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D．下调企业贷款利率→降低企业融资成本→增加企业经济效益</w:t>
      </w:r>
    </w:p>
    <w:p w14:paraId="56943CE9">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auto"/>
      </w:pPr>
      <w:r>
        <w:rPr>
          <w:rFonts w:hint="eastAsia"/>
        </w:rPr>
        <w:t>5.（2023·天津·二模）在中国载人航天工程近30年的建设中，全国110多家科研院所、3000多家协作单位的数十万科研人员拼搏接力。正是有了新型举国体制这个独特优势，我国航天事业才取得令人瞩目的成就。这一优势体现在</w:t>
      </w:r>
    </w:p>
    <w:p w14:paraId="398BB738">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rPr>
          <w:rFonts w:hint="eastAsia"/>
        </w:rPr>
      </w:pPr>
      <w:r>
        <w:rPr>
          <w:rFonts w:hint="eastAsia"/>
        </w:rPr>
        <w:t>①社会主义市场经济能够集中人力、财力和物力办大事</w:t>
      </w:r>
    </w:p>
    <w:p w14:paraId="3665F834">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②坚持公有制的主体地位，不断做大做强国有经济</w:t>
      </w:r>
    </w:p>
    <w:p w14:paraId="38F95016">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③政治制度优势与市场机制作用互动协同</w:t>
      </w:r>
    </w:p>
    <w:p w14:paraId="105F3849">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④基础设施建设离不开“看不见的手”的作用</w:t>
      </w:r>
    </w:p>
    <w:p w14:paraId="1F437F45">
      <w:pPr>
        <w:keepNext w:val="0"/>
        <w:keepLines w:val="0"/>
        <w:pageBreakBefore w:val="0"/>
        <w:widowControl w:val="0"/>
        <w:kinsoku/>
        <w:wordWrap/>
        <w:overflowPunct/>
        <w:topLinePunct w:val="0"/>
        <w:autoSpaceDE/>
        <w:autoSpaceDN/>
        <w:bidi w:val="0"/>
        <w:adjustRightInd/>
        <w:snapToGrid/>
        <w:spacing w:line="280" w:lineRule="exact"/>
        <w:ind w:firstLine="630" w:firstLineChars="300"/>
        <w:textAlignment w:val="auto"/>
      </w:pPr>
      <w:r>
        <w:rPr>
          <w:rFonts w:hint="eastAsia"/>
          <w:color w:val="FF0000"/>
        </w:rPr>
        <w:t xml:space="preserve">A．①③   </w:t>
      </w:r>
      <w:r>
        <w:rPr>
          <w:rFonts w:hint="eastAsia"/>
        </w:rPr>
        <w:tab/>
      </w:r>
      <w:r>
        <w:rPr>
          <w:rFonts w:hint="eastAsia"/>
        </w:rPr>
        <w:t xml:space="preserve">B．②④   </w:t>
      </w:r>
      <w:r>
        <w:rPr>
          <w:rFonts w:hint="eastAsia"/>
        </w:rPr>
        <w:tab/>
      </w:r>
      <w:r>
        <w:rPr>
          <w:rFonts w:hint="eastAsia"/>
        </w:rPr>
        <w:t>C．③④</w:t>
      </w:r>
      <w:r>
        <w:rPr>
          <w:rFonts w:hint="eastAsia"/>
        </w:rPr>
        <w:tab/>
      </w:r>
      <w:r>
        <w:rPr>
          <w:rFonts w:hint="eastAsia"/>
        </w:rPr>
        <w:t xml:space="preserve">    D．①②</w:t>
      </w:r>
    </w:p>
    <w:p w14:paraId="28D8FDE1">
      <w:pPr>
        <w:keepNext w:val="0"/>
        <w:keepLines w:val="0"/>
        <w:pageBreakBefore w:val="0"/>
        <w:widowControl w:val="0"/>
        <w:kinsoku/>
        <w:wordWrap/>
        <w:overflowPunct/>
        <w:topLinePunct w:val="0"/>
        <w:autoSpaceDE/>
        <w:autoSpaceDN/>
        <w:bidi w:val="0"/>
        <w:adjustRightInd/>
        <w:snapToGrid/>
        <w:spacing w:line="280" w:lineRule="exact"/>
        <w:textAlignment w:val="auto"/>
      </w:pPr>
      <w:r>
        <w:rPr>
          <w:rFonts w:hint="eastAsia"/>
        </w:rPr>
        <w:t>6.（2023·海南统考二模）实现2035年建成科技强国的目标，需要健全社会主义市场经济条件下关键核心 技术攻关新型举国体制，强化国家战略科技力量，优化配置创新资源，解决外国“卡脖子”问题。提出这一要求，是基于新型举国体制</w:t>
      </w:r>
    </w:p>
    <w:p w14:paraId="4B21E77E">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①是中国特色社会主义制度的最大优势   ②开启中国最为广泛而深刻的社会变革</w:t>
      </w:r>
    </w:p>
    <w:p w14:paraId="02E8B24A">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③具有集中力量办大事的显著制度优势   ④能为实现科技自立自强提供有力保障</w:t>
      </w:r>
    </w:p>
    <w:p w14:paraId="7F92A766">
      <w:pPr>
        <w:keepNext w:val="0"/>
        <w:keepLines w:val="0"/>
        <w:pageBreakBefore w:val="0"/>
        <w:widowControl w:val="0"/>
        <w:kinsoku/>
        <w:wordWrap/>
        <w:overflowPunct/>
        <w:topLinePunct w:val="0"/>
        <w:autoSpaceDE/>
        <w:autoSpaceDN/>
        <w:bidi w:val="0"/>
        <w:adjustRightInd/>
        <w:snapToGrid/>
        <w:spacing w:line="280" w:lineRule="exact"/>
        <w:ind w:firstLine="630" w:firstLineChars="300"/>
        <w:textAlignment w:val="auto"/>
        <w:rPr>
          <w:color w:val="FF0000"/>
        </w:rPr>
      </w:pPr>
      <w:r>
        <w:rPr>
          <w:rFonts w:hint="eastAsia"/>
        </w:rPr>
        <w:t>A．①②</w:t>
      </w:r>
      <w:r>
        <w:rPr>
          <w:rFonts w:hint="eastAsia"/>
        </w:rPr>
        <w:tab/>
      </w:r>
      <w:r>
        <w:rPr>
          <w:rFonts w:hint="eastAsia"/>
        </w:rPr>
        <w:t xml:space="preserve">   B．①④</w:t>
      </w:r>
      <w:r>
        <w:rPr>
          <w:rFonts w:hint="eastAsia"/>
        </w:rPr>
        <w:tab/>
      </w:r>
      <w:r>
        <w:rPr>
          <w:rFonts w:hint="eastAsia"/>
        </w:rPr>
        <w:t xml:space="preserve">   C．②③   </w:t>
      </w:r>
      <w:r>
        <w:rPr>
          <w:rFonts w:hint="eastAsia"/>
        </w:rPr>
        <w:tab/>
      </w:r>
      <w:r>
        <w:rPr>
          <w:rFonts w:hint="eastAsia"/>
          <w:color w:val="FF0000"/>
        </w:rPr>
        <w:t>D．③④</w:t>
      </w:r>
    </w:p>
    <w:p w14:paraId="750020EC">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auto"/>
      </w:pPr>
      <w:r>
        <w:rPr>
          <w:rFonts w:hint="eastAsia"/>
        </w:rPr>
        <w:t>7.（2020·海南·高考真题）2019年12月举行的中央经济工作会议指出，2020年继续实施积极的财政政策，大力提质增效，更加注重结构调整，坚决压缩一般性支出，做好重点领域保障，支持基层保工资、保运转、保基本民生。下列符合积极的财政政策的措施是（    ）</w:t>
      </w:r>
    </w:p>
    <w:p w14:paraId="4B106759">
      <w:pPr>
        <w:keepNext w:val="0"/>
        <w:keepLines w:val="0"/>
        <w:pageBreakBefore w:val="0"/>
        <w:widowControl w:val="0"/>
        <w:kinsoku/>
        <w:wordWrap/>
        <w:overflowPunct/>
        <w:topLinePunct w:val="0"/>
        <w:autoSpaceDE/>
        <w:autoSpaceDN/>
        <w:bidi w:val="0"/>
        <w:adjustRightInd/>
        <w:snapToGrid/>
        <w:spacing w:line="280" w:lineRule="exact"/>
        <w:ind w:firstLine="420" w:firstLineChars="200"/>
        <w:textAlignment w:val="auto"/>
      </w:pPr>
      <w:r>
        <w:rPr>
          <w:rFonts w:hint="eastAsia"/>
        </w:rPr>
        <w:t>①减少长期建设国债规模      ②下调增值税税率</w:t>
      </w:r>
    </w:p>
    <w:p w14:paraId="3C92B527">
      <w:pPr>
        <w:keepNext w:val="0"/>
        <w:keepLines w:val="0"/>
        <w:pageBreakBefore w:val="0"/>
        <w:widowControl w:val="0"/>
        <w:kinsoku/>
        <w:wordWrap/>
        <w:overflowPunct/>
        <w:topLinePunct w:val="0"/>
        <w:autoSpaceDE/>
        <w:autoSpaceDN/>
        <w:bidi w:val="0"/>
        <w:adjustRightInd/>
        <w:snapToGrid/>
        <w:spacing w:line="280" w:lineRule="exact"/>
        <w:ind w:firstLine="420" w:firstLineChars="200"/>
        <w:textAlignment w:val="auto"/>
      </w:pPr>
      <w:r>
        <w:rPr>
          <w:rFonts w:hint="eastAsia"/>
        </w:rPr>
        <w:t>③适度增加财政赤字          ④上调银行存款准备金率</w:t>
      </w:r>
    </w:p>
    <w:p w14:paraId="291F2012">
      <w:pPr>
        <w:keepNext w:val="0"/>
        <w:keepLines w:val="0"/>
        <w:pageBreakBefore w:val="0"/>
        <w:widowControl w:val="0"/>
        <w:kinsoku/>
        <w:wordWrap/>
        <w:overflowPunct/>
        <w:topLinePunct w:val="0"/>
        <w:autoSpaceDE/>
        <w:autoSpaceDN/>
        <w:bidi w:val="0"/>
        <w:adjustRightInd/>
        <w:snapToGrid/>
        <w:spacing w:line="280" w:lineRule="exact"/>
        <w:ind w:firstLine="420" w:firstLineChars="200"/>
        <w:textAlignment w:val="auto"/>
      </w:pPr>
      <w:r>
        <w:rPr>
          <w:rFonts w:hint="eastAsia"/>
        </w:rPr>
        <w:t xml:space="preserve">A.①②   </w:t>
      </w:r>
      <w:r>
        <w:rPr>
          <w:rFonts w:hint="eastAsia"/>
          <w:color w:val="FF0000"/>
        </w:rPr>
        <w:t xml:space="preserve"> B. ②③ </w:t>
      </w:r>
      <w:r>
        <w:rPr>
          <w:rFonts w:hint="eastAsia"/>
        </w:rPr>
        <w:t xml:space="preserve">    C.①④    D. ③④</w:t>
      </w:r>
    </w:p>
    <w:p w14:paraId="0E9A7A5C">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auto"/>
        <w:rPr>
          <w:rFonts w:hint="eastAsia"/>
        </w:rPr>
      </w:pPr>
    </w:p>
    <w:p w14:paraId="5C64FEF6">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auto"/>
      </w:pPr>
      <w:r>
        <w:rPr>
          <w:rFonts w:hint="eastAsia"/>
        </w:rPr>
        <w:t>8.（2023·天津·高考真题）为解决青年人、低收入者等群体 住房困难问题，政府通过给予土地、财税等政策支持，引导多主体投资、多渠道供给，大力发展保障性租赁住房，并禁止其上市销售或变相销售。发展保障性租赁住房（   ）</w:t>
      </w:r>
    </w:p>
    <w:p w14:paraId="6B066297">
      <w:pPr>
        <w:keepNext w:val="0"/>
        <w:keepLines w:val="0"/>
        <w:pageBreakBefore w:val="0"/>
        <w:widowControl w:val="0"/>
        <w:kinsoku/>
        <w:wordWrap/>
        <w:overflowPunct/>
        <w:topLinePunct w:val="0"/>
        <w:autoSpaceDE/>
        <w:autoSpaceDN/>
        <w:bidi w:val="0"/>
        <w:adjustRightInd/>
        <w:snapToGrid/>
        <w:spacing w:line="280" w:lineRule="exact"/>
        <w:ind w:firstLine="420" w:firstLineChars="200"/>
        <w:textAlignment w:val="auto"/>
      </w:pPr>
      <w:r>
        <w:rPr>
          <w:rFonts w:hint="eastAsia"/>
        </w:rPr>
        <w:t>A.维护了公平透明的市场秩序          B.引导资源流向效率更高的领域</w:t>
      </w:r>
    </w:p>
    <w:p w14:paraId="583D87FE">
      <w:pPr>
        <w:keepNext w:val="0"/>
        <w:keepLines w:val="0"/>
        <w:pageBreakBefore w:val="0"/>
        <w:widowControl w:val="0"/>
        <w:kinsoku/>
        <w:wordWrap/>
        <w:overflowPunct/>
        <w:topLinePunct w:val="0"/>
        <w:autoSpaceDE/>
        <w:autoSpaceDN/>
        <w:bidi w:val="0"/>
        <w:adjustRightInd/>
        <w:snapToGrid/>
        <w:spacing w:line="280" w:lineRule="exact"/>
        <w:ind w:firstLine="420" w:firstLineChars="200"/>
        <w:textAlignment w:val="auto"/>
        <w:rPr>
          <w:color w:val="FF0000"/>
        </w:rPr>
      </w:pPr>
      <w:r>
        <w:rPr>
          <w:rFonts w:hint="eastAsia"/>
          <w:color w:val="FF0000"/>
        </w:rPr>
        <w:t xml:space="preserve">C.要发挥有为政府和有效市场的作用    </w:t>
      </w:r>
      <w:r>
        <w:rPr>
          <w:rFonts w:hint="eastAsia"/>
        </w:rPr>
        <w:t>D.体现了与民生相关的商品不能由市场调节</w:t>
      </w:r>
    </w:p>
    <w:p w14:paraId="78EE4632">
      <w:pPr>
        <w:keepNext w:val="0"/>
        <w:keepLines w:val="0"/>
        <w:pageBreakBefore w:val="0"/>
        <w:widowControl w:val="0"/>
        <w:kinsoku/>
        <w:wordWrap/>
        <w:overflowPunct/>
        <w:topLinePunct w:val="0"/>
        <w:autoSpaceDE/>
        <w:autoSpaceDN/>
        <w:bidi w:val="0"/>
        <w:adjustRightInd/>
        <w:snapToGrid/>
        <w:spacing w:line="280" w:lineRule="exact"/>
        <w:textAlignment w:val="auto"/>
      </w:pPr>
      <w:r>
        <w:rPr>
          <w:rFonts w:hint="eastAsia"/>
        </w:rPr>
        <w:t>9.（2022·山东·高考真题）市场主体是我国经济活动的主要参与者，市场主体活力越强，经济“肌体”越健康。近年来，中央持续激发市场主体活力的政策取向非常鲜明，若不考虑其他因素，下列推导正确的是（  ）</w:t>
      </w:r>
    </w:p>
    <w:p w14:paraId="1B69EFEE">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①实施组合式税费支持政策→提高增值税起征点→缓解企业资金压力→提振企业市场信心</w:t>
      </w:r>
    </w:p>
    <w:p w14:paraId="6CAA8162">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②下调金融机构存款准备金率→加大信贷投放力度→拓宽企业融资渠道→降低企业投资风险</w:t>
      </w:r>
    </w:p>
    <w:p w14:paraId="5E6B915B">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③深化要素价格市场化改革→稳定要素市场价格→优化企业要素配置→提高企业市场占有率</w:t>
      </w:r>
    </w:p>
    <w:p w14:paraId="4704F220">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④健全公平竞争审查制度→强化反垄断监管→防止资本无序扩张→保护中小企业生存发展空间</w:t>
      </w:r>
    </w:p>
    <w:p w14:paraId="184D6B14">
      <w:pPr>
        <w:keepNext w:val="0"/>
        <w:keepLines w:val="0"/>
        <w:pageBreakBefore w:val="0"/>
        <w:widowControl w:val="0"/>
        <w:kinsoku/>
        <w:wordWrap/>
        <w:overflowPunct/>
        <w:topLinePunct w:val="0"/>
        <w:autoSpaceDE/>
        <w:autoSpaceDN/>
        <w:bidi w:val="0"/>
        <w:adjustRightInd/>
        <w:snapToGrid/>
        <w:spacing w:line="280" w:lineRule="exact"/>
        <w:ind w:firstLine="630" w:firstLineChars="300"/>
        <w:textAlignment w:val="auto"/>
      </w:pPr>
      <w:r>
        <w:rPr>
          <w:rFonts w:hint="eastAsia"/>
        </w:rPr>
        <w:t xml:space="preserve">A①②    </w:t>
      </w:r>
      <w:r>
        <w:rPr>
          <w:rFonts w:hint="eastAsia"/>
          <w:color w:val="FF0000"/>
        </w:rPr>
        <w:t xml:space="preserve"> B.①④ </w:t>
      </w:r>
      <w:r>
        <w:rPr>
          <w:rFonts w:hint="eastAsia"/>
        </w:rPr>
        <w:t xml:space="preserve">   C. ②③     D. ③④</w:t>
      </w:r>
    </w:p>
    <w:p w14:paraId="355E566F">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auto"/>
      </w:pPr>
      <w:r>
        <w:rPr>
          <w:rFonts w:hint="eastAsia"/>
        </w:rPr>
        <w:t>10.近年来，辽宁省把营商环境作为事关振兴发展全局的重大问题来抓，不断加强营商环境建设，将其视为实施全面振兴新突破三年行动必须下好的先手棋、打好新时代“辽沈战役”必须拿下的关键仗。优化营商环境需要</w:t>
      </w:r>
    </w:p>
    <w:p w14:paraId="6090D630">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①建立统一开放、竞争有序的市场体系，提高资源配置效率和公平性</w:t>
      </w:r>
    </w:p>
    <w:p w14:paraId="23A54209">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②建立公平开放透明的市场规则，降低市场准入门槛以激发市场的活力</w:t>
      </w:r>
    </w:p>
    <w:p w14:paraId="0D5B06EE">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③建立健全社会征信体系，发挥道德的教化作用以滋养良好的社会环境</w:t>
      </w:r>
    </w:p>
    <w:p w14:paraId="55F765F6">
      <w:pPr>
        <w:keepNext w:val="0"/>
        <w:keepLines w:val="0"/>
        <w:pageBreakBefore w:val="0"/>
        <w:widowControl w:val="0"/>
        <w:kinsoku/>
        <w:wordWrap/>
        <w:overflowPunct/>
        <w:topLinePunct w:val="0"/>
        <w:autoSpaceDE/>
        <w:autoSpaceDN/>
        <w:bidi w:val="0"/>
        <w:adjustRightInd/>
        <w:snapToGrid/>
        <w:spacing w:line="280" w:lineRule="exact"/>
        <w:ind w:firstLine="210" w:firstLineChars="100"/>
        <w:textAlignment w:val="auto"/>
      </w:pPr>
      <w:r>
        <w:rPr>
          <w:rFonts w:hint="eastAsia"/>
        </w:rPr>
        <w:t>④建设全领域由市场决定价格的机制，充分发挥市场在资源配置的决定性作用</w:t>
      </w:r>
    </w:p>
    <w:p w14:paraId="0589F362">
      <w:pPr>
        <w:keepNext w:val="0"/>
        <w:keepLines w:val="0"/>
        <w:pageBreakBefore w:val="0"/>
        <w:widowControl w:val="0"/>
        <w:kinsoku/>
        <w:wordWrap/>
        <w:overflowPunct/>
        <w:topLinePunct w:val="0"/>
        <w:autoSpaceDE/>
        <w:autoSpaceDN/>
        <w:bidi w:val="0"/>
        <w:adjustRightInd/>
        <w:snapToGrid/>
        <w:spacing w:line="280" w:lineRule="exact"/>
        <w:ind w:firstLine="420" w:firstLineChars="200"/>
        <w:textAlignment w:val="auto"/>
      </w:pPr>
      <w:r>
        <w:rPr>
          <w:rFonts w:hint="eastAsia"/>
          <w:color w:val="0000FF"/>
        </w:rPr>
        <w:t xml:space="preserve">A．①③ </w:t>
      </w:r>
      <w:r>
        <w:rPr>
          <w:rFonts w:hint="eastAsia"/>
        </w:rPr>
        <w:t xml:space="preserve"> </w:t>
      </w:r>
      <w:r>
        <w:rPr>
          <w:rFonts w:hint="eastAsia"/>
        </w:rPr>
        <w:tab/>
      </w:r>
      <w:r>
        <w:rPr>
          <w:rFonts w:hint="eastAsia"/>
        </w:rPr>
        <w:t>B．②③</w:t>
      </w:r>
      <w:r>
        <w:rPr>
          <w:rFonts w:hint="eastAsia"/>
        </w:rPr>
        <w:tab/>
      </w:r>
      <w:r>
        <w:rPr>
          <w:rFonts w:hint="eastAsia"/>
        </w:rPr>
        <w:t xml:space="preserve">    C．①④</w:t>
      </w:r>
      <w:r>
        <w:rPr>
          <w:rFonts w:hint="eastAsia"/>
        </w:rPr>
        <w:tab/>
      </w:r>
      <w:r>
        <w:rPr>
          <w:rFonts w:hint="eastAsia"/>
        </w:rPr>
        <w:t xml:space="preserve">   D．②④</w:t>
      </w:r>
    </w:p>
    <w:p w14:paraId="5A456CB1">
      <w:pPr>
        <w:keepNext w:val="0"/>
        <w:keepLines w:val="0"/>
        <w:pageBreakBefore w:val="0"/>
        <w:widowControl w:val="0"/>
        <w:kinsoku/>
        <w:wordWrap/>
        <w:overflowPunct/>
        <w:topLinePunct w:val="0"/>
        <w:autoSpaceDE/>
        <w:autoSpaceDN/>
        <w:bidi w:val="0"/>
        <w:adjustRightInd/>
        <w:snapToGrid/>
        <w:spacing w:line="280" w:lineRule="exact"/>
        <w:ind w:left="210" w:hanging="210" w:hangingChars="100"/>
        <w:jc w:val="left"/>
        <w:textAlignment w:val="auto"/>
      </w:pPr>
      <w:r>
        <w:rPr>
          <w:rFonts w:hint="eastAsia"/>
        </w:rPr>
        <w:t>11.2023年7月，南方区域电力市场启动试运行，覆盖范围包括广东等五省区，涵盖电力中长期、现货、辅助服务交易，按照同一个交易规则和技术标准运行，发电企业和用户的可选范围更丰富，电价则根据供需浮动。这些举措有利于</w:t>
      </w:r>
    </w:p>
    <w:p w14:paraId="183A4A97">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①有效降低电力资源的市场化交易成本  ②发挥市场在资源配置中的决定性作用</w:t>
      </w:r>
    </w:p>
    <w:p w14:paraId="1623577C">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③加快推进电价由需求决定的形成机制  ④建设创新引领、协同发展的产业体系</w:t>
      </w:r>
    </w:p>
    <w:p w14:paraId="2D7D517E">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left"/>
        <w:textAlignment w:val="auto"/>
      </w:pPr>
      <w:r>
        <w:rPr>
          <w:rFonts w:hint="eastAsia"/>
          <w:color w:val="0000FF"/>
        </w:rPr>
        <w:t xml:space="preserve">A．①②  </w:t>
      </w:r>
      <w:r>
        <w:rPr>
          <w:rFonts w:hint="eastAsia"/>
        </w:rPr>
        <w:tab/>
      </w:r>
      <w:r>
        <w:rPr>
          <w:rFonts w:hint="eastAsia"/>
        </w:rPr>
        <w:t>B．①③</w:t>
      </w:r>
      <w:r>
        <w:rPr>
          <w:rFonts w:hint="eastAsia"/>
        </w:rPr>
        <w:tab/>
      </w:r>
      <w:r>
        <w:rPr>
          <w:rFonts w:hint="eastAsia"/>
        </w:rPr>
        <w:t xml:space="preserve">   C．②④</w:t>
      </w:r>
      <w:r>
        <w:rPr>
          <w:rFonts w:hint="eastAsia"/>
        </w:rPr>
        <w:tab/>
      </w:r>
      <w:r>
        <w:rPr>
          <w:rFonts w:hint="eastAsia"/>
        </w:rPr>
        <w:t xml:space="preserve">   D．③④</w:t>
      </w:r>
    </w:p>
    <w:p w14:paraId="72B06402">
      <w:pPr>
        <w:keepNext w:val="0"/>
        <w:keepLines w:val="0"/>
        <w:pageBreakBefore w:val="0"/>
        <w:widowControl w:val="0"/>
        <w:kinsoku/>
        <w:wordWrap/>
        <w:overflowPunct/>
        <w:topLinePunct w:val="0"/>
        <w:autoSpaceDE/>
        <w:autoSpaceDN/>
        <w:bidi w:val="0"/>
        <w:adjustRightInd/>
        <w:snapToGrid/>
        <w:spacing w:line="280" w:lineRule="exact"/>
        <w:jc w:val="left"/>
        <w:textAlignment w:val="auto"/>
      </w:pPr>
      <w:r>
        <w:rPr>
          <w:rFonts w:hint="eastAsia"/>
        </w:rPr>
        <w:t>12.中国人民银行公布的金融统计数据显示：2023年一季度我国人民币贷款增加10.6万亿元，同比多增2.27万亿元；一季度社会融资规模增量累计为14.53万亿元，比上年同期多2.47万亿元。这一变化的成因是</w:t>
      </w:r>
    </w:p>
    <w:p w14:paraId="6431FAE3">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①稳健的货币政策精准有力，降准政策落地促进贷款规模扩大</w:t>
      </w:r>
    </w:p>
    <w:p w14:paraId="44AFF8FD">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②减税政策导致财政收入大幅减少，要依靠信贷填补资金缺口</w:t>
      </w:r>
    </w:p>
    <w:p w14:paraId="2D418F03">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③小微企业遭遇经营困境，急需扩大生产规模以降低市场风险</w:t>
      </w:r>
    </w:p>
    <w:p w14:paraId="573279E0">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④我国经济运行回稳向好，投资需求、消费需求呈现回升态势</w:t>
      </w:r>
    </w:p>
    <w:p w14:paraId="52608AD6">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left"/>
        <w:textAlignment w:val="auto"/>
      </w:pPr>
      <w:r>
        <w:rPr>
          <w:rFonts w:hint="eastAsia"/>
        </w:rPr>
        <w:t xml:space="preserve">A．①②   </w:t>
      </w:r>
      <w:r>
        <w:rPr>
          <w:rFonts w:hint="eastAsia"/>
        </w:rPr>
        <w:tab/>
      </w:r>
      <w:r>
        <w:rPr>
          <w:rFonts w:hint="eastAsia"/>
        </w:rPr>
        <w:t>B．①④</w:t>
      </w:r>
      <w:r>
        <w:rPr>
          <w:rFonts w:hint="eastAsia"/>
        </w:rPr>
        <w:tab/>
      </w:r>
      <w:r>
        <w:rPr>
          <w:rFonts w:hint="eastAsia"/>
        </w:rPr>
        <w:t xml:space="preserve"> C．②③</w:t>
      </w:r>
      <w:r>
        <w:rPr>
          <w:rFonts w:hint="eastAsia"/>
        </w:rPr>
        <w:tab/>
      </w:r>
      <w:r>
        <w:rPr>
          <w:rFonts w:hint="eastAsia"/>
        </w:rPr>
        <w:t>D．②④</w:t>
      </w:r>
    </w:p>
    <w:p w14:paraId="5EF48B6D">
      <w:pPr>
        <w:keepNext w:val="0"/>
        <w:keepLines w:val="0"/>
        <w:pageBreakBefore w:val="0"/>
        <w:widowControl w:val="0"/>
        <w:kinsoku/>
        <w:wordWrap/>
        <w:overflowPunct/>
        <w:topLinePunct w:val="0"/>
        <w:autoSpaceDE/>
        <w:autoSpaceDN/>
        <w:bidi w:val="0"/>
        <w:adjustRightInd/>
        <w:snapToGrid/>
        <w:spacing w:line="280" w:lineRule="exact"/>
        <w:ind w:left="210" w:hanging="210" w:hangingChars="100"/>
        <w:jc w:val="left"/>
        <w:textAlignment w:val="auto"/>
      </w:pPr>
      <w:r>
        <w:rPr>
          <w:rFonts w:hint="eastAsia"/>
        </w:rPr>
        <w:t>13．憨态可掬的北京冬奥会吉祥物“冰墩墩”一出现在公众视野，就火遍全网“一墩难求”，一些商家打起歪主意，未经授权借冬奥和“冰墩墩”进行商业活动。近日，北京、浙江等地公安机关配合市场监管部门，针对不法人员的违法行为，迅速依法予以了严厉打击。这表明</w:t>
      </w:r>
    </w:p>
    <w:p w14:paraId="3333E1F6">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left"/>
        <w:textAlignment w:val="auto"/>
      </w:pPr>
      <w:r>
        <w:rPr>
          <w:rFonts w:hint="eastAsia"/>
        </w:rPr>
        <w:t xml:space="preserve">①市场调节具有自发性　 </w:t>
      </w:r>
      <w:r>
        <w:rPr>
          <w:rFonts w:hint="eastAsia"/>
          <w:lang w:val="en-US" w:eastAsia="zh-CN"/>
        </w:rPr>
        <w:t xml:space="preserve">                     </w:t>
      </w:r>
      <w:r>
        <w:rPr>
          <w:rFonts w:hint="eastAsia"/>
        </w:rPr>
        <w:t>②市场调节具有盲目性　</w:t>
      </w:r>
    </w:p>
    <w:p w14:paraId="5939F22C">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left"/>
        <w:textAlignment w:val="auto"/>
      </w:pPr>
      <w:r>
        <w:rPr>
          <w:rFonts w:hint="eastAsia"/>
        </w:rPr>
        <w:t>③履行加强市场监管规范市场秩序的经济职能</w:t>
      </w:r>
      <w:r>
        <w:rPr>
          <w:rFonts w:hint="eastAsia"/>
          <w:lang w:val="en-US" w:eastAsia="zh-CN"/>
        </w:rPr>
        <w:t xml:space="preserve">    </w:t>
      </w:r>
      <w:r>
        <w:rPr>
          <w:rFonts w:hint="eastAsia"/>
        </w:rPr>
        <w:t>④科学宏观调控能消除市场调节的弊病</w:t>
      </w:r>
    </w:p>
    <w:p w14:paraId="3FEE9CDE">
      <w:pPr>
        <w:keepNext w:val="0"/>
        <w:keepLines w:val="0"/>
        <w:pageBreakBefore w:val="0"/>
        <w:widowControl w:val="0"/>
        <w:kinsoku/>
        <w:wordWrap/>
        <w:overflowPunct/>
        <w:topLinePunct w:val="0"/>
        <w:autoSpaceDE/>
        <w:autoSpaceDN/>
        <w:bidi w:val="0"/>
        <w:adjustRightInd/>
        <w:snapToGrid/>
        <w:spacing w:line="280" w:lineRule="exact"/>
        <w:ind w:firstLine="630" w:firstLineChars="300"/>
        <w:jc w:val="left"/>
        <w:textAlignment w:val="auto"/>
      </w:pPr>
      <w:r>
        <w:rPr>
          <w:rFonts w:hint="eastAsia"/>
          <w:color w:val="FF0000"/>
        </w:rPr>
        <w:t>A．①③</w:t>
      </w:r>
      <w:r>
        <w:rPr>
          <w:rFonts w:hint="eastAsia"/>
        </w:rPr>
        <w:tab/>
      </w:r>
      <w:r>
        <w:rPr>
          <w:rFonts w:hint="eastAsia"/>
        </w:rPr>
        <w:t xml:space="preserve">   B．①④</w:t>
      </w:r>
      <w:r>
        <w:rPr>
          <w:rFonts w:hint="eastAsia"/>
        </w:rPr>
        <w:tab/>
      </w:r>
      <w:r>
        <w:rPr>
          <w:rFonts w:hint="eastAsia"/>
        </w:rPr>
        <w:t xml:space="preserve">    C．②③</w:t>
      </w:r>
      <w:r>
        <w:rPr>
          <w:rFonts w:hint="eastAsia"/>
        </w:rPr>
        <w:tab/>
      </w:r>
      <w:r>
        <w:rPr>
          <w:rFonts w:hint="eastAsia"/>
        </w:rPr>
        <w:t xml:space="preserve">     D．②④</w:t>
      </w:r>
    </w:p>
    <w:p w14:paraId="38669CDB">
      <w:pPr>
        <w:keepNext w:val="0"/>
        <w:keepLines w:val="0"/>
        <w:pageBreakBefore w:val="0"/>
        <w:widowControl w:val="0"/>
        <w:kinsoku/>
        <w:wordWrap/>
        <w:overflowPunct/>
        <w:topLinePunct w:val="0"/>
        <w:autoSpaceDE/>
        <w:autoSpaceDN/>
        <w:bidi w:val="0"/>
        <w:adjustRightInd/>
        <w:snapToGrid/>
        <w:spacing w:line="280" w:lineRule="exact"/>
        <w:jc w:val="left"/>
        <w:textAlignment w:val="auto"/>
      </w:pPr>
      <w:r>
        <w:rPr>
          <w:rFonts w:hint="eastAsia"/>
        </w:rPr>
        <w:t>14.在世界人工智能大会上，上海市政府发布《关于加快推进上海人工智能高质量发展的实施办法》，在推进人工智能产业发展方面围绕集聚高端人才、突破核心技术、推进示范应用等五个方面提出了22条具体举措。材料表明上海市政府履行的经济职能是</w:t>
      </w:r>
    </w:p>
    <w:p w14:paraId="3F92C876">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left"/>
        <w:textAlignment w:val="auto"/>
        <w:rPr>
          <w:color w:val="FF0000"/>
        </w:rPr>
      </w:pPr>
      <w:r>
        <w:rPr>
          <w:rFonts w:hint="eastAsia"/>
        </w:rPr>
        <w:t>A．制定国家经济发展战略和规划</w:t>
      </w:r>
      <w:r>
        <w:rPr>
          <w:rFonts w:hint="eastAsia"/>
        </w:rPr>
        <w:tab/>
      </w:r>
      <w:r>
        <w:rPr>
          <w:rFonts w:hint="eastAsia"/>
        </w:rPr>
        <w:t xml:space="preserve">  </w:t>
      </w:r>
      <w:r>
        <w:rPr>
          <w:rFonts w:hint="eastAsia"/>
          <w:color w:val="FF0000"/>
        </w:rPr>
        <w:t xml:space="preserve"> B．实施产业政策</w:t>
      </w:r>
    </w:p>
    <w:p w14:paraId="56BD6507">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left"/>
        <w:textAlignment w:val="auto"/>
      </w:pPr>
      <w:r>
        <w:rPr>
          <w:rFonts w:hint="eastAsia"/>
        </w:rPr>
        <w:t xml:space="preserve">C．实施宏观经济政策      </w:t>
      </w:r>
      <w:r>
        <w:rPr>
          <w:rFonts w:hint="eastAsia"/>
        </w:rPr>
        <w:tab/>
      </w:r>
      <w:r>
        <w:rPr>
          <w:rFonts w:hint="eastAsia"/>
        </w:rPr>
        <w:t xml:space="preserve">       D．实施区域政策</w:t>
      </w:r>
    </w:p>
    <w:p w14:paraId="0D66DE8B">
      <w:pPr>
        <w:keepNext w:val="0"/>
        <w:keepLines w:val="0"/>
        <w:pageBreakBefore w:val="0"/>
        <w:widowControl w:val="0"/>
        <w:kinsoku/>
        <w:wordWrap/>
        <w:overflowPunct/>
        <w:topLinePunct w:val="0"/>
        <w:autoSpaceDE/>
        <w:autoSpaceDN/>
        <w:bidi w:val="0"/>
        <w:adjustRightInd/>
        <w:snapToGrid/>
        <w:spacing w:line="280" w:lineRule="exact"/>
        <w:jc w:val="left"/>
        <w:textAlignment w:val="auto"/>
      </w:pPr>
      <w:r>
        <w:rPr>
          <w:rFonts w:hint="eastAsia"/>
        </w:rPr>
        <w:t>15.储备肉制度是宏观调控的重要手段。在重大自然灾害、公共卫生事件、动物疫情或者遇到其他突发事件的情况下，猪肉市场价格出现大幅波动，有关部门为维护市场稳定会投放储备肉。储备肉制度是基于（    ）</w:t>
      </w:r>
    </w:p>
    <w:p w14:paraId="25EF0504">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 xml:space="preserve">①政府在资源配置中发挥着决定性作用      ②市场供求关系的变化会影响市场价格  </w:t>
      </w:r>
    </w:p>
    <w:p w14:paraId="157C072B">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③市场解决不了猪肉等生活资料的配置问题  ④稳定物价是我国科学宏观调控的重要目标</w:t>
      </w:r>
    </w:p>
    <w:p w14:paraId="07F7300C">
      <w:pPr>
        <w:keepNext w:val="0"/>
        <w:keepLines w:val="0"/>
        <w:pageBreakBefore w:val="0"/>
        <w:widowControl w:val="0"/>
        <w:kinsoku/>
        <w:wordWrap/>
        <w:overflowPunct/>
        <w:topLinePunct w:val="0"/>
        <w:autoSpaceDE/>
        <w:autoSpaceDN/>
        <w:bidi w:val="0"/>
        <w:adjustRightInd/>
        <w:snapToGrid/>
        <w:spacing w:line="280" w:lineRule="exact"/>
        <w:ind w:firstLine="630" w:firstLineChars="300"/>
        <w:jc w:val="left"/>
        <w:textAlignment w:val="auto"/>
      </w:pPr>
      <w:r>
        <w:rPr>
          <w:rFonts w:hint="eastAsia"/>
        </w:rPr>
        <w:t>A.①②         B.①③        C.②④        D.③④</w:t>
      </w:r>
    </w:p>
    <w:p w14:paraId="5A7DC872">
      <w:pPr>
        <w:keepNext w:val="0"/>
        <w:keepLines w:val="0"/>
        <w:pageBreakBefore w:val="0"/>
        <w:widowControl w:val="0"/>
        <w:kinsoku/>
        <w:wordWrap/>
        <w:overflowPunct/>
        <w:topLinePunct w:val="0"/>
        <w:autoSpaceDE/>
        <w:autoSpaceDN/>
        <w:bidi w:val="0"/>
        <w:adjustRightInd/>
        <w:snapToGrid/>
        <w:spacing w:line="280" w:lineRule="exact"/>
        <w:ind w:left="210" w:hanging="210" w:hangingChars="100"/>
        <w:jc w:val="left"/>
        <w:textAlignment w:val="auto"/>
      </w:pPr>
      <w:r>
        <w:rPr>
          <w:rFonts w:hint="eastAsia"/>
        </w:rPr>
        <w:t>16．2023是《中华人民共和国中小企业促进法》施行20周年。多项税费优惠政策延续、出台，在惠企利民的同时为经济稳定恢复提供了有力的支撑。从效果来看，减税降费政策极大地缓解了企业经营压力，有效提高了场信心，特别是关系民生的中小微企业从中得到了更大的生存发展空间。从中能够得出的合理结论是（    ）</w:t>
      </w:r>
    </w:p>
    <w:p w14:paraId="3FF4C8EA">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rPr>
          <w:rFonts w:hint="eastAsia"/>
          <w:lang w:val="en-US" w:eastAsia="zh-CN"/>
        </w:rPr>
      </w:pPr>
      <w:r>
        <w:rPr>
          <w:rFonts w:hint="eastAsia"/>
        </w:rPr>
        <w:t>①科学的宏观调控可以促进政府与市场的良性互动</w:t>
      </w:r>
      <w:r>
        <w:rPr>
          <w:rFonts w:hint="eastAsia"/>
          <w:lang w:val="en-US" w:eastAsia="zh-CN"/>
        </w:rPr>
        <w:t xml:space="preserve"> </w:t>
      </w:r>
    </w:p>
    <w:p w14:paraId="1CB31366">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②减税降费政策能有效降低中小微企业的经营风险</w:t>
      </w:r>
    </w:p>
    <w:p w14:paraId="752C158A">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③减税降费政策能更好激发中小微企业的生机活力</w:t>
      </w:r>
      <w:r>
        <w:rPr>
          <w:rFonts w:hint="eastAsia"/>
          <w:lang w:val="en-US" w:eastAsia="zh-CN"/>
        </w:rPr>
        <w:t xml:space="preserve">        </w:t>
      </w:r>
      <w:r>
        <w:rPr>
          <w:rFonts w:hint="eastAsia"/>
          <w:color w:val="0000FF"/>
        </w:rPr>
        <w:t>A．①③</w:t>
      </w:r>
      <w:r>
        <w:rPr>
          <w:rFonts w:hint="eastAsia"/>
        </w:rPr>
        <w:tab/>
      </w:r>
      <w:r>
        <w:rPr>
          <w:rFonts w:hint="eastAsia"/>
        </w:rPr>
        <w:t>B．①④</w:t>
      </w:r>
    </w:p>
    <w:p w14:paraId="21E942C6">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④政府职能的有效发挥是促进经济稳定发展的基础</w:t>
      </w:r>
      <w:r>
        <w:rPr>
          <w:rFonts w:hint="eastAsia"/>
          <w:lang w:val="en-US" w:eastAsia="zh-CN"/>
        </w:rPr>
        <w:t xml:space="preserve">        </w:t>
      </w:r>
      <w:r>
        <w:rPr>
          <w:rFonts w:hint="eastAsia"/>
        </w:rPr>
        <w:t>C．②③</w:t>
      </w:r>
      <w:r>
        <w:rPr>
          <w:rFonts w:hint="eastAsia"/>
        </w:rPr>
        <w:tab/>
      </w:r>
      <w:r>
        <w:rPr>
          <w:rFonts w:hint="eastAsia"/>
        </w:rPr>
        <w:t>D．②④</w:t>
      </w:r>
      <w:r>
        <w:rPr>
          <w:rFonts w:hint="eastAsia"/>
          <w:lang w:val="en-US" w:eastAsia="zh-CN"/>
        </w:rPr>
        <w:t xml:space="preserve"> </w:t>
      </w:r>
    </w:p>
    <w:p w14:paraId="414C6503">
      <w:pPr>
        <w:keepNext w:val="0"/>
        <w:keepLines w:val="0"/>
        <w:pageBreakBefore w:val="0"/>
        <w:widowControl w:val="0"/>
        <w:kinsoku/>
        <w:wordWrap/>
        <w:overflowPunct/>
        <w:topLinePunct w:val="0"/>
        <w:autoSpaceDE/>
        <w:autoSpaceDN/>
        <w:bidi w:val="0"/>
        <w:adjustRightInd/>
        <w:snapToGrid/>
        <w:spacing w:line="280" w:lineRule="exact"/>
        <w:jc w:val="left"/>
        <w:textAlignment w:val="auto"/>
      </w:pPr>
      <w:r>
        <w:rPr>
          <w:rFonts w:hint="eastAsia"/>
        </w:rPr>
        <w:t>17．据悉，随着猪肉价格涨到近四年来高位，养殖户扩大了养猪规模，同时也引得一些乳制品行业甚至互联网企业纷纷进军养猪业。这说明（  ）</w:t>
      </w:r>
    </w:p>
    <w:p w14:paraId="140C3C11">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①市场调节有自发性，能够推动科学技术和经营管理进步</w:t>
      </w:r>
    </w:p>
    <w:p w14:paraId="776BD1A9">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②在市场经济中，商品生产主要是通过价格涨落和供求变化由市场来调节的</w:t>
      </w:r>
    </w:p>
    <w:p w14:paraId="58884D4F">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③市场准入畅通，行业引导商品生产者调节人财物在全社会的配置</w:t>
      </w:r>
      <w:r>
        <w:rPr>
          <w:rFonts w:hint="eastAsia"/>
          <w:lang w:val="en-US" w:eastAsia="zh-CN"/>
        </w:rPr>
        <w:t xml:space="preserve">        </w:t>
      </w:r>
      <w:r>
        <w:rPr>
          <w:rFonts w:hint="eastAsia"/>
        </w:rPr>
        <w:t>A．①③</w:t>
      </w:r>
      <w:r>
        <w:rPr>
          <w:rFonts w:hint="eastAsia"/>
        </w:rPr>
        <w:tab/>
      </w:r>
      <w:r>
        <w:rPr>
          <w:rFonts w:hint="eastAsia"/>
        </w:rPr>
        <w:t xml:space="preserve">  B．①④</w:t>
      </w:r>
    </w:p>
    <w:p w14:paraId="7D4DE72A">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left"/>
        <w:textAlignment w:val="auto"/>
      </w:pPr>
      <w:r>
        <w:rPr>
          <w:rFonts w:hint="eastAsia"/>
        </w:rPr>
        <w:t>④商品生产者、经营者在利益杠杆的作用下，积极调整生产经营活动</w:t>
      </w:r>
      <w:r>
        <w:rPr>
          <w:rFonts w:hint="eastAsia"/>
          <w:lang w:val="en-US" w:eastAsia="zh-CN"/>
        </w:rPr>
        <w:t xml:space="preserve">   </w:t>
      </w:r>
      <w:r>
        <w:rPr>
          <w:rFonts w:hint="eastAsia"/>
        </w:rPr>
        <w:t xml:space="preserve"> </w:t>
      </w:r>
      <w:r>
        <w:rPr>
          <w:rFonts w:hint="eastAsia"/>
          <w:lang w:val="en-US" w:eastAsia="zh-CN"/>
        </w:rPr>
        <w:t xml:space="preserve">  </w:t>
      </w:r>
      <w:r>
        <w:rPr>
          <w:rFonts w:hint="eastAsia"/>
        </w:rPr>
        <w:t>C．②③</w:t>
      </w:r>
      <w:r>
        <w:rPr>
          <w:rFonts w:hint="eastAsia"/>
        </w:rPr>
        <w:tab/>
      </w:r>
      <w:r>
        <w:rPr>
          <w:rFonts w:hint="eastAsia"/>
        </w:rPr>
        <w:t xml:space="preserve"> </w:t>
      </w:r>
      <w:r>
        <w:rPr>
          <w:rFonts w:hint="eastAsia"/>
          <w:lang w:val="en-US" w:eastAsia="zh-CN"/>
        </w:rPr>
        <w:t xml:space="preserve"> </w:t>
      </w:r>
      <w:r>
        <w:rPr>
          <w:rFonts w:hint="eastAsia"/>
          <w:color w:val="0000FF"/>
        </w:rPr>
        <w:t>D．②④</w:t>
      </w:r>
    </w:p>
    <w:p w14:paraId="55966952">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firstLine="420" w:firstLineChars="200"/>
        <w:jc w:val="center"/>
        <w:textAlignment w:val="auto"/>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经济类“传导题”专练</w:t>
      </w:r>
    </w:p>
    <w:p w14:paraId="69390788">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25.03宁波十校联盟高三联考-T7】2024年9月下旬以来，国家针对当前经济运行中的新情况，加力推出一揽子增量政策，统筹财政、金融、消费、投资、房地产、民生等各领域的政策“组合拳”，扎实推动经济持续回升向好。关于这些政策的作用，下列传导正确的是</w:t>
      </w:r>
    </w:p>
    <w:p w14:paraId="4BBBF105">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210" w:firstLineChars="100"/>
        <w:textAlignment w:val="auto"/>
        <w:rPr>
          <w:rFonts w:hint="eastAsia" w:ascii="宋体" w:hAnsi="宋体" w:eastAsia="宋体" w:cs="宋体"/>
          <w:sz w:val="21"/>
          <w:szCs w:val="21"/>
        </w:rPr>
      </w:pPr>
      <w:r>
        <w:rPr>
          <w:rFonts w:hint="eastAsia" w:ascii="宋体" w:hAnsi="宋体" w:eastAsia="宋体" w:cs="宋体"/>
          <w:sz w:val="21"/>
          <w:szCs w:val="21"/>
          <w:shd w:val="clear" w:color="auto" w:fill="FFFB00"/>
        </w:rPr>
        <w:t>①增发超长期特别国债→专项投入重大战略建设→扩大社会总需求</w:t>
      </w:r>
    </w:p>
    <w:p w14:paraId="24FD4C11">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210" w:firstLineChars="100"/>
        <w:textAlignment w:val="auto"/>
        <w:rPr>
          <w:rFonts w:hint="eastAsia" w:ascii="宋体" w:hAnsi="宋体" w:eastAsia="宋体" w:cs="宋体"/>
          <w:sz w:val="21"/>
          <w:szCs w:val="21"/>
        </w:rPr>
      </w:pPr>
      <w:r>
        <w:rPr>
          <w:rFonts w:hint="eastAsia" w:ascii="宋体" w:hAnsi="宋体" w:eastAsia="宋体" w:cs="宋体"/>
          <w:sz w:val="21"/>
          <w:szCs w:val="21"/>
        </w:rPr>
        <w:t>②大力引导中长期资金入市→提振资本市场信心→保障投资者收益</w:t>
      </w:r>
    </w:p>
    <w:p w14:paraId="1241F742">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210" w:firstLineChars="100"/>
        <w:textAlignment w:val="auto"/>
        <w:rPr>
          <w:rFonts w:hint="eastAsia" w:ascii="宋体" w:hAnsi="宋体" w:eastAsia="宋体" w:cs="宋体"/>
          <w:sz w:val="21"/>
          <w:szCs w:val="21"/>
        </w:rPr>
      </w:pPr>
      <w:r>
        <w:rPr>
          <w:rFonts w:hint="eastAsia" w:ascii="宋体" w:hAnsi="宋体" w:eastAsia="宋体" w:cs="宋体"/>
          <w:sz w:val="21"/>
          <w:szCs w:val="21"/>
        </w:rPr>
        <w:t>③降低存量房贷利率→缓解房企融资压力→助力房产市场止跌回稳</w:t>
      </w:r>
    </w:p>
    <w:p w14:paraId="4D57E642">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210" w:firstLineChars="100"/>
        <w:textAlignment w:val="auto"/>
        <w:rPr>
          <w:rFonts w:hint="eastAsia" w:ascii="宋体" w:hAnsi="宋体" w:eastAsia="宋体" w:cs="宋体"/>
          <w:sz w:val="21"/>
          <w:szCs w:val="21"/>
        </w:rPr>
      </w:pPr>
      <w:r>
        <w:rPr>
          <w:rFonts w:hint="eastAsia" w:ascii="宋体" w:hAnsi="宋体" w:eastAsia="宋体" w:cs="宋体"/>
          <w:sz w:val="21"/>
          <w:szCs w:val="21"/>
          <w:shd w:val="clear" w:color="auto" w:fill="FFFB00"/>
        </w:rPr>
        <w:t>④增加以旧换新补贴品类→释放消费市场潜力→拉动国家经济增长</w:t>
      </w:r>
    </w:p>
    <w:p w14:paraId="26723316">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A.①②   </w:t>
      </w:r>
      <w:r>
        <w:rPr>
          <w:rFonts w:hint="eastAsia" w:ascii="宋体" w:hAnsi="宋体" w:eastAsia="宋体" w:cs="宋体"/>
          <w:b w:val="0"/>
          <w:bCs w:val="0"/>
          <w:sz w:val="21"/>
          <w:szCs w:val="21"/>
        </w:rPr>
        <w:t> </w:t>
      </w:r>
      <w:r>
        <w:rPr>
          <w:rFonts w:hint="eastAsia" w:ascii="宋体" w:hAnsi="宋体" w:eastAsia="宋体" w:cs="宋体"/>
          <w:b w:val="0"/>
          <w:bCs w:val="0"/>
          <w:sz w:val="21"/>
          <w:szCs w:val="21"/>
          <w:shd w:val="clear" w:color="auto" w:fill="FFFB00"/>
        </w:rPr>
        <w:t>B.①④</w:t>
      </w:r>
      <w:r>
        <w:rPr>
          <w:rFonts w:hint="eastAsia" w:ascii="宋体" w:hAnsi="宋体" w:eastAsia="宋体" w:cs="宋体"/>
          <w:sz w:val="21"/>
          <w:szCs w:val="21"/>
        </w:rPr>
        <w:t>    C.②③    D.③④</w:t>
      </w:r>
    </w:p>
    <w:p w14:paraId="7CE437E3">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210" w:firstLineChars="100"/>
        <w:textAlignment w:val="auto"/>
        <w:rPr>
          <w:rFonts w:hint="eastAsia" w:ascii="宋体" w:hAnsi="宋体" w:eastAsia="宋体" w:cs="宋体"/>
          <w:sz w:val="21"/>
          <w:szCs w:val="21"/>
        </w:rPr>
      </w:pPr>
      <w:r>
        <w:rPr>
          <w:rFonts w:hint="eastAsia" w:ascii="宋体" w:hAnsi="宋体" w:eastAsia="宋体" w:cs="宋体"/>
          <w:kern w:val="2"/>
          <w:sz w:val="21"/>
          <w:szCs w:val="21"/>
          <w:lang w:val="en-US" w:eastAsia="zh-CN"/>
        </w:rPr>
        <w:t>2.</w:t>
      </w:r>
      <w:r>
        <w:rPr>
          <w:rFonts w:hint="eastAsia" w:ascii="宋体" w:hAnsi="宋体" w:eastAsia="宋体" w:cs="宋体"/>
          <w:kern w:val="2"/>
          <w:sz w:val="21"/>
          <w:szCs w:val="21"/>
        </w:rPr>
        <w:t>（24年甘肃卷-T4）从淄博烧烤，到哈尔滨冻梨，再到天水麻辣烫，近年来，多城市借助特色美食突然网上走红。这些网红城市抢抓机遇，提升城市品质，成功变线上“流量”为线下“留量”，多措并举，带动当地文旅产业大发展。下列关于这一现象传导过程正确的是</w:t>
      </w:r>
    </w:p>
    <w:p w14:paraId="6ABF70BC">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210" w:firstLineChars="100"/>
        <w:textAlignment w:val="auto"/>
        <w:rPr>
          <w:rFonts w:hint="eastAsia" w:ascii="宋体" w:hAnsi="宋体" w:eastAsia="宋体" w:cs="宋体"/>
          <w:sz w:val="21"/>
          <w:szCs w:val="21"/>
        </w:rPr>
      </w:pPr>
      <w:r>
        <w:rPr>
          <w:rFonts w:hint="eastAsia" w:ascii="宋体" w:hAnsi="宋体" w:eastAsia="宋体" w:cs="宋体"/>
          <w:kern w:val="2"/>
          <w:sz w:val="21"/>
          <w:szCs w:val="21"/>
        </w:rPr>
        <w:t>①网红城市名气攀升，各地游客纷纷前往打卡</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②政企联动多措并举，助推文旅产业融合发展</w:t>
      </w:r>
    </w:p>
    <w:p w14:paraId="40224065">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210" w:firstLineChars="100"/>
        <w:textAlignment w:val="auto"/>
        <w:rPr>
          <w:rFonts w:hint="eastAsia" w:ascii="宋体" w:hAnsi="宋体" w:eastAsia="宋体" w:cs="宋体"/>
          <w:sz w:val="21"/>
          <w:szCs w:val="21"/>
        </w:rPr>
      </w:pPr>
      <w:r>
        <w:rPr>
          <w:rFonts w:hint="eastAsia" w:ascii="宋体" w:hAnsi="宋体" w:eastAsia="宋体" w:cs="宋体"/>
          <w:kern w:val="2"/>
          <w:sz w:val="21"/>
          <w:szCs w:val="21"/>
        </w:rPr>
        <w:t>③政府优化消费环境，线上线下放大流量效应</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④地方美食走红网络，所在地成为旅游目的地</w:t>
      </w:r>
    </w:p>
    <w:p w14:paraId="0169B502">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420" w:firstLineChars="200"/>
        <w:textAlignment w:val="auto"/>
        <w:rPr>
          <w:rFonts w:hint="eastAsia" w:ascii="宋体" w:hAnsi="宋体" w:eastAsia="宋体" w:cs="宋体"/>
          <w:sz w:val="21"/>
          <w:szCs w:val="21"/>
        </w:rPr>
      </w:pPr>
      <w:r>
        <w:rPr>
          <w:rFonts w:hint="eastAsia" w:ascii="宋体" w:hAnsi="宋体" w:eastAsia="宋体" w:cs="宋体"/>
          <w:kern w:val="2"/>
          <w:sz w:val="21"/>
          <w:szCs w:val="21"/>
        </w:rPr>
        <w:t>A.①—④—③—②</w:t>
      </w:r>
      <w:r>
        <w:rPr>
          <w:rFonts w:hint="eastAsia" w:ascii="宋体" w:hAnsi="宋体" w:eastAsia="宋体" w:cs="宋体"/>
          <w:b w:val="0"/>
          <w:bCs w:val="0"/>
          <w:kern w:val="2"/>
          <w:sz w:val="21"/>
          <w:szCs w:val="21"/>
        </w:rPr>
        <w:t xml:space="preserve">    </w:t>
      </w:r>
      <w:r>
        <w:rPr>
          <w:rFonts w:hint="eastAsia" w:ascii="宋体" w:hAnsi="宋体" w:eastAsia="宋体" w:cs="宋体"/>
          <w:kern w:val="2"/>
          <w:sz w:val="21"/>
          <w:szCs w:val="21"/>
        </w:rPr>
        <w:t>B.②—③—④—①</w:t>
      </w:r>
      <w:r>
        <w:rPr>
          <w:rFonts w:hint="eastAsia" w:ascii="宋体" w:hAnsi="宋体" w:eastAsia="宋体" w:cs="宋体"/>
          <w:kern w:val="2"/>
          <w:sz w:val="21"/>
          <w:szCs w:val="21"/>
        </w:rPr>
        <w:tab/>
      </w:r>
      <w:r>
        <w:rPr>
          <w:rFonts w:hint="eastAsia" w:ascii="宋体" w:hAnsi="宋体" w:eastAsia="宋体" w:cs="宋体"/>
          <w:kern w:val="2"/>
          <w:sz w:val="21"/>
          <w:szCs w:val="21"/>
        </w:rPr>
        <w:t>C.④—②—③—①</w:t>
      </w:r>
      <w:r>
        <w:rPr>
          <w:rFonts w:hint="eastAsia" w:ascii="宋体" w:hAnsi="宋体" w:eastAsia="宋体" w:cs="宋体"/>
          <w:b w:val="0"/>
          <w:bCs w:val="0"/>
          <w:kern w:val="2"/>
          <w:sz w:val="21"/>
          <w:szCs w:val="21"/>
        </w:rPr>
        <w:t xml:space="preserve">    </w:t>
      </w:r>
      <w:r>
        <w:rPr>
          <w:rFonts w:hint="eastAsia" w:ascii="宋体" w:hAnsi="宋体" w:eastAsia="宋体" w:cs="宋体"/>
          <w:kern w:val="2"/>
          <w:sz w:val="21"/>
          <w:szCs w:val="21"/>
          <w:highlight w:val="yellow"/>
        </w:rPr>
        <w:t>D.④—①—③—②</w:t>
      </w:r>
    </w:p>
    <w:p w14:paraId="3683FEDB">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420" w:firstLineChars="200"/>
        <w:textAlignment w:val="auto"/>
        <w:rPr>
          <w:rFonts w:hint="eastAsia" w:ascii="宋体" w:hAnsi="宋体" w:eastAsia="宋体" w:cs="宋体"/>
          <w:sz w:val="21"/>
          <w:szCs w:val="21"/>
        </w:rPr>
      </w:pPr>
      <w:r>
        <w:rPr>
          <w:rFonts w:hint="eastAsia" w:ascii="宋体" w:hAnsi="宋体" w:eastAsia="宋体" w:cs="宋体"/>
          <w:kern w:val="2"/>
          <w:sz w:val="21"/>
          <w:szCs w:val="21"/>
          <w:lang w:val="en-US" w:eastAsia="zh-CN"/>
        </w:rPr>
        <w:t>3.</w:t>
      </w:r>
      <w:r>
        <w:rPr>
          <w:rFonts w:hint="eastAsia" w:ascii="宋体" w:hAnsi="宋体" w:eastAsia="宋体" w:cs="宋体"/>
          <w:kern w:val="2"/>
          <w:sz w:val="21"/>
          <w:szCs w:val="21"/>
        </w:rPr>
        <w:t>（23年湖北卷-T2）聚焦产业链供应链有序运行，我国创新宏观调控，通过减税降费充分发挥了税收的调控性、导向性和激励性作用，不断突破供给侧堵点，有效维护了我国产业链供应链安全稳定和自主可控。该机制的作用路径是</w:t>
      </w:r>
    </w:p>
    <w:p w14:paraId="1CECE44C">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420" w:firstLineChars="200"/>
        <w:textAlignment w:val="auto"/>
        <w:rPr>
          <w:rFonts w:hint="eastAsia" w:ascii="宋体" w:hAnsi="宋体" w:eastAsia="宋体" w:cs="宋体"/>
          <w:sz w:val="21"/>
          <w:szCs w:val="21"/>
        </w:rPr>
      </w:pPr>
      <w:r>
        <w:rPr>
          <w:rFonts w:hint="eastAsia" w:ascii="宋体" w:hAnsi="宋体" w:eastAsia="宋体" w:cs="宋体"/>
          <w:kern w:val="2"/>
          <w:sz w:val="21"/>
          <w:szCs w:val="21"/>
          <w:shd w:val="clear" w:color="auto" w:fill="FFFB00"/>
        </w:rPr>
        <w:t xml:space="preserve">①实行减税降费 </w:t>
      </w:r>
      <w:r>
        <w:rPr>
          <w:rFonts w:hint="eastAsia" w:ascii="宋体" w:hAnsi="宋体" w:eastAsia="宋体" w:cs="宋体"/>
          <w:kern w:val="2"/>
          <w:sz w:val="21"/>
          <w:szCs w:val="21"/>
          <w:shd w:val="clear" w:color="auto" w:fill="FFFB00"/>
          <w:lang w:val="en-US" w:eastAsia="zh-CN"/>
        </w:rPr>
        <w:t xml:space="preserve">                </w:t>
      </w:r>
      <w:r>
        <w:rPr>
          <w:rFonts w:hint="eastAsia" w:ascii="宋体" w:hAnsi="宋体" w:eastAsia="宋体" w:cs="宋体"/>
          <w:kern w:val="2"/>
          <w:sz w:val="21"/>
          <w:szCs w:val="21"/>
        </w:rPr>
        <w:t xml:space="preserve">②高新技术企业创新积极性增强 </w:t>
      </w:r>
    </w:p>
    <w:p w14:paraId="10282700">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420" w:firstLineChars="200"/>
        <w:textAlignment w:val="auto"/>
        <w:rPr>
          <w:rFonts w:hint="eastAsia" w:ascii="宋体" w:hAnsi="宋体" w:eastAsia="宋体" w:cs="宋体"/>
          <w:sz w:val="21"/>
          <w:szCs w:val="21"/>
        </w:rPr>
      </w:pPr>
      <w:r>
        <w:rPr>
          <w:rFonts w:hint="eastAsia" w:ascii="宋体" w:hAnsi="宋体" w:eastAsia="宋体" w:cs="宋体"/>
          <w:kern w:val="2"/>
          <w:sz w:val="21"/>
          <w:szCs w:val="21"/>
        </w:rPr>
        <w:t>③关键技术完全自主创新</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shd w:val="clear" w:color="auto" w:fill="FFFB00"/>
        </w:rPr>
        <w:t xml:space="preserve">④支持小微企业纾困 </w:t>
      </w:r>
    </w:p>
    <w:p w14:paraId="76AD29D3">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420" w:firstLineChars="200"/>
        <w:textAlignment w:val="auto"/>
        <w:rPr>
          <w:rFonts w:hint="eastAsia" w:ascii="宋体" w:hAnsi="宋体" w:eastAsia="宋体" w:cs="宋体"/>
          <w:sz w:val="21"/>
          <w:szCs w:val="21"/>
        </w:rPr>
      </w:pPr>
      <w:r>
        <w:rPr>
          <w:rFonts w:hint="eastAsia" w:ascii="宋体" w:hAnsi="宋体" w:eastAsia="宋体" w:cs="宋体"/>
          <w:kern w:val="2"/>
          <w:sz w:val="21"/>
          <w:szCs w:val="21"/>
          <w:shd w:val="clear" w:color="auto" w:fill="FFFB00"/>
        </w:rPr>
        <w:t xml:space="preserve">⑤打通大中小企业之间的微循环 </w:t>
      </w:r>
      <w:r>
        <w:rPr>
          <w:rFonts w:hint="eastAsia" w:ascii="宋体" w:hAnsi="宋体" w:eastAsia="宋体" w:cs="宋体"/>
          <w:kern w:val="2"/>
          <w:sz w:val="21"/>
          <w:szCs w:val="21"/>
          <w:shd w:val="clear" w:color="auto" w:fill="FFFB00"/>
          <w:lang w:val="en-US" w:eastAsia="zh-CN"/>
        </w:rPr>
        <w:t xml:space="preserve">  </w:t>
      </w:r>
      <w:r>
        <w:rPr>
          <w:rFonts w:hint="eastAsia" w:ascii="宋体" w:hAnsi="宋体" w:eastAsia="宋体" w:cs="宋体"/>
          <w:kern w:val="2"/>
          <w:sz w:val="21"/>
          <w:szCs w:val="21"/>
          <w:shd w:val="clear" w:color="auto" w:fill="FFFB00"/>
        </w:rPr>
        <w:t>⑥保障产业链安全稳定</w:t>
      </w:r>
    </w:p>
    <w:p w14:paraId="04CF5766">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firstLine="420" w:firstLineChars="200"/>
        <w:textAlignment w:val="auto"/>
        <w:rPr>
          <w:rFonts w:hint="eastAsia" w:ascii="宋体" w:hAnsi="宋体" w:eastAsia="宋体" w:cs="宋体"/>
          <w:sz w:val="21"/>
          <w:szCs w:val="21"/>
        </w:rPr>
      </w:pPr>
      <w:r>
        <w:rPr>
          <w:rFonts w:hint="eastAsia" w:ascii="宋体" w:hAnsi="宋体" w:eastAsia="宋体" w:cs="宋体"/>
          <w:kern w:val="2"/>
          <w:sz w:val="21"/>
          <w:szCs w:val="21"/>
        </w:rPr>
        <w:t>A.①→③→②→⑥</w:t>
      </w:r>
      <w:r>
        <w:rPr>
          <w:rFonts w:hint="eastAsia" w:ascii="宋体" w:hAnsi="宋体" w:eastAsia="宋体" w:cs="宋体"/>
          <w:b w:val="0"/>
          <w:bCs w:val="0"/>
          <w:kern w:val="2"/>
          <w:sz w:val="21"/>
          <w:szCs w:val="21"/>
        </w:rPr>
        <w:t xml:space="preserve">    </w:t>
      </w:r>
      <w:r>
        <w:rPr>
          <w:rFonts w:hint="eastAsia" w:ascii="宋体" w:hAnsi="宋体" w:eastAsia="宋体" w:cs="宋体"/>
          <w:kern w:val="2"/>
          <w:sz w:val="21"/>
          <w:szCs w:val="21"/>
        </w:rPr>
        <w:t xml:space="preserve">B.①→④→③→⑥    </w:t>
      </w:r>
      <w:r>
        <w:rPr>
          <w:rFonts w:hint="eastAsia" w:ascii="宋体" w:hAnsi="宋体" w:eastAsia="宋体" w:cs="宋体"/>
          <w:kern w:val="2"/>
          <w:sz w:val="21"/>
          <w:szCs w:val="21"/>
          <w:highlight w:val="yellow"/>
        </w:rPr>
        <w:t>C.①→④→⑤→⑥</w:t>
      </w:r>
      <w:r>
        <w:rPr>
          <w:rFonts w:hint="eastAsia" w:ascii="宋体" w:hAnsi="宋体" w:eastAsia="宋体" w:cs="宋体"/>
          <w:b w:val="0"/>
          <w:bCs w:val="0"/>
          <w:kern w:val="2"/>
          <w:sz w:val="21"/>
          <w:szCs w:val="21"/>
        </w:rPr>
        <w:t xml:space="preserve">    </w:t>
      </w:r>
      <w:r>
        <w:rPr>
          <w:rFonts w:hint="eastAsia" w:ascii="宋体" w:hAnsi="宋体" w:eastAsia="宋体" w:cs="宋体"/>
          <w:kern w:val="2"/>
          <w:sz w:val="21"/>
          <w:szCs w:val="21"/>
        </w:rPr>
        <w:t>D.①→⑤→④→⑥</w:t>
      </w:r>
    </w:p>
    <w:p w14:paraId="500327AB">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rPr>
          <w:rFonts w:hint="eastAsia" w:ascii="宋体" w:hAnsi="宋体" w:eastAsia="宋体" w:cs="宋体"/>
          <w:sz w:val="21"/>
          <w:szCs w:val="21"/>
        </w:rPr>
      </w:pPr>
      <w:r>
        <w:rPr>
          <w:rFonts w:hint="eastAsia" w:ascii="宋体" w:hAnsi="宋体" w:eastAsia="宋体" w:cs="宋体"/>
          <w:kern w:val="2"/>
          <w:sz w:val="21"/>
          <w:szCs w:val="21"/>
          <w:lang w:val="en-US" w:eastAsia="zh-CN"/>
        </w:rPr>
        <w:t>4.</w:t>
      </w:r>
      <w:r>
        <w:rPr>
          <w:rFonts w:hint="eastAsia" w:ascii="宋体" w:hAnsi="宋体" w:eastAsia="宋体" w:cs="宋体"/>
          <w:kern w:val="2"/>
          <w:sz w:val="21"/>
          <w:szCs w:val="21"/>
        </w:rPr>
        <w:t>（22年辽宁卷-T5）药品集中带量采购是采购机构以公开招标的形式，用“团购”方式向药品供应商购买明确数量的药品。第六批国家集采药品上市后，患者惊喜发现，胰岛素价格普遍降幅超过一半。下列关于“集采”的传导过程正确的是</w:t>
      </w:r>
    </w:p>
    <w:p w14:paraId="00C5A58F">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 xml:space="preserve">①中标药企和医院的获利空间被压缩 </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shd w:val="clear" w:color="auto" w:fill="FFFB00"/>
        </w:rPr>
        <w:t>②药品采购过程中的非必要环节减少</w:t>
      </w:r>
    </w:p>
    <w:p w14:paraId="3B045673">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shd w:val="clear" w:color="auto" w:fill="FFFB00"/>
        </w:rPr>
        <w:t xml:space="preserve">③药企和医院参与分摊医疗保障责任 </w:t>
      </w:r>
      <w:r>
        <w:rPr>
          <w:rFonts w:hint="eastAsia" w:ascii="宋体" w:hAnsi="宋体" w:eastAsia="宋体" w:cs="宋体"/>
          <w:kern w:val="2"/>
          <w:sz w:val="21"/>
          <w:szCs w:val="21"/>
          <w:shd w:val="clear" w:color="auto" w:fill="FFFB00"/>
          <w:lang w:val="en-US" w:eastAsia="zh-CN"/>
        </w:rPr>
        <w:t xml:space="preserve">   </w:t>
      </w:r>
      <w:r>
        <w:rPr>
          <w:rFonts w:hint="eastAsia" w:ascii="宋体" w:hAnsi="宋体" w:eastAsia="宋体" w:cs="宋体"/>
          <w:kern w:val="2"/>
          <w:sz w:val="21"/>
          <w:szCs w:val="21"/>
          <w:shd w:val="clear" w:color="auto" w:fill="FFFB00"/>
        </w:rPr>
        <w:t>④采用大范围的药企竞价或议价模式</w:t>
      </w:r>
    </w:p>
    <w:p w14:paraId="4B93A940">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shd w:val="clear" w:color="auto" w:fill="FFFB00"/>
        </w:rPr>
        <w:t>⑤中标药品的采购价格回归合理区间</w:t>
      </w:r>
    </w:p>
    <w:p w14:paraId="656715F0">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A.②→④→①→③     B.④→③→①→⑤</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 xml:space="preserve">C.②→③→④→⑤     </w:t>
      </w:r>
      <w:r>
        <w:rPr>
          <w:rFonts w:hint="eastAsia" w:ascii="宋体" w:hAnsi="宋体" w:eastAsia="宋体" w:cs="宋体"/>
          <w:kern w:val="2"/>
          <w:sz w:val="21"/>
          <w:szCs w:val="21"/>
          <w:highlight w:val="yellow"/>
        </w:rPr>
        <w:t>D.④→②→⑤→③</w:t>
      </w:r>
    </w:p>
    <w:p w14:paraId="43345023">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lang w:val="en-US" w:eastAsia="zh-CN"/>
        </w:rPr>
        <w:t>5.</w:t>
      </w:r>
      <w:r>
        <w:rPr>
          <w:rFonts w:hint="eastAsia" w:ascii="宋体" w:hAnsi="宋体" w:eastAsia="宋体" w:cs="宋体"/>
          <w:kern w:val="2"/>
          <w:sz w:val="21"/>
          <w:szCs w:val="21"/>
        </w:rPr>
        <w:t>（24年广西卷-T3）《关于支持中央企业发行绿色债券的通知》提出，支持中央企业发行绿色债券融资，募集资金专门用于绿色产业、绿色项目或绿色经济活动，旨在促进经济社会全面绿色转型。关于该政策的作用，下列传导正确的是</w:t>
      </w:r>
    </w:p>
    <w:p w14:paraId="3D9839A2">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rPr>
          <w:rFonts w:hint="eastAsia" w:ascii="宋体" w:hAnsi="宋体" w:eastAsia="宋体" w:cs="宋体"/>
          <w:sz w:val="21"/>
          <w:szCs w:val="21"/>
        </w:rPr>
      </w:pPr>
      <w:r>
        <w:rPr>
          <w:rFonts w:hint="eastAsia" w:ascii="宋体" w:hAnsi="宋体" w:eastAsia="宋体" w:cs="宋体"/>
          <w:kern w:val="2"/>
          <w:sz w:val="21"/>
          <w:szCs w:val="21"/>
        </w:rPr>
        <w:t>①增加绿色商品供给→满足绿色消费需求→提升企业经济效益→推动降碳减排</w:t>
      </w:r>
    </w:p>
    <w:p w14:paraId="46D63178">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rPr>
          <w:rFonts w:hint="eastAsia" w:ascii="宋体" w:hAnsi="宋体" w:eastAsia="宋体" w:cs="宋体"/>
          <w:sz w:val="21"/>
          <w:szCs w:val="21"/>
        </w:rPr>
      </w:pPr>
      <w:r>
        <w:rPr>
          <w:rFonts w:hint="eastAsia" w:ascii="宋体" w:hAnsi="宋体" w:eastAsia="宋体" w:cs="宋体"/>
          <w:kern w:val="2"/>
          <w:sz w:val="21"/>
          <w:szCs w:val="21"/>
        </w:rPr>
        <w:t>②增加绿色资金供给→降低社会融资成本→化解资源错配→推动全面绿色转型</w:t>
      </w:r>
    </w:p>
    <w:p w14:paraId="33884A2B">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rPr>
          <w:rFonts w:hint="eastAsia" w:ascii="宋体" w:hAnsi="宋体" w:eastAsia="宋体" w:cs="宋体"/>
          <w:sz w:val="21"/>
          <w:szCs w:val="21"/>
        </w:rPr>
      </w:pPr>
      <w:r>
        <w:rPr>
          <w:rFonts w:hint="eastAsia" w:ascii="宋体" w:hAnsi="宋体" w:eastAsia="宋体" w:cs="宋体"/>
          <w:kern w:val="2"/>
          <w:sz w:val="21"/>
          <w:szCs w:val="21"/>
          <w:highlight w:val="yellow"/>
        </w:rPr>
        <w:t>③扩大央企绿色投资→增加央企绿色研发投入→促进绿色技术应用→推动降碳减排</w:t>
      </w:r>
    </w:p>
    <w:p w14:paraId="251B7B69">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rPr>
          <w:rFonts w:hint="eastAsia" w:ascii="宋体" w:hAnsi="宋体" w:eastAsia="宋体" w:cs="宋体"/>
          <w:sz w:val="21"/>
          <w:szCs w:val="21"/>
        </w:rPr>
      </w:pPr>
      <w:r>
        <w:rPr>
          <w:rFonts w:hint="eastAsia" w:ascii="宋体" w:hAnsi="宋体" w:eastAsia="宋体" w:cs="宋体"/>
          <w:kern w:val="2"/>
          <w:sz w:val="21"/>
          <w:szCs w:val="21"/>
          <w:highlight w:val="yellow"/>
        </w:rPr>
        <w:t>④丰富绿色债券产品→吸引社会资本流入→促进绿色产业发展</w:t>
      </w:r>
      <w:bookmarkStart w:id="0" w:name="_GoBack"/>
      <w:bookmarkEnd w:id="0"/>
      <w:r>
        <w:rPr>
          <w:rFonts w:hint="eastAsia" w:ascii="宋体" w:hAnsi="宋体" w:eastAsia="宋体" w:cs="宋体"/>
          <w:kern w:val="2"/>
          <w:sz w:val="21"/>
          <w:szCs w:val="21"/>
          <w:highlight w:val="yellow"/>
        </w:rPr>
        <w:t>→推动全面绿色转型</w:t>
      </w:r>
    </w:p>
    <w:p w14:paraId="7F725725">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630" w:firstLineChars="300"/>
        <w:rPr>
          <w:rFonts w:hint="eastAsia" w:ascii="宋体" w:hAnsi="宋体" w:eastAsia="宋体" w:cs="宋体"/>
          <w:sz w:val="21"/>
          <w:szCs w:val="21"/>
        </w:rPr>
      </w:pPr>
      <w:r>
        <w:rPr>
          <w:rFonts w:hint="eastAsia" w:ascii="宋体" w:hAnsi="宋体" w:eastAsia="宋体" w:cs="宋体"/>
          <w:kern w:val="2"/>
          <w:sz w:val="21"/>
          <w:szCs w:val="21"/>
        </w:rPr>
        <w:t xml:space="preserve">A.①②   </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 xml:space="preserve"> B.①④ </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 xml:space="preserve">   C.②③  </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 xml:space="preserve">  </w:t>
      </w:r>
      <w:r>
        <w:rPr>
          <w:rFonts w:hint="eastAsia" w:ascii="宋体" w:hAnsi="宋体" w:eastAsia="宋体" w:cs="宋体"/>
          <w:kern w:val="2"/>
          <w:sz w:val="21"/>
          <w:szCs w:val="21"/>
          <w:highlight w:val="yellow"/>
        </w:rPr>
        <w:t>D.③④</w:t>
      </w:r>
    </w:p>
    <w:p w14:paraId="5D889252">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rPr>
          <w:rFonts w:hint="eastAsia" w:ascii="宋体" w:hAnsi="宋体" w:eastAsia="宋体" w:cs="宋体"/>
          <w:sz w:val="21"/>
          <w:szCs w:val="21"/>
        </w:rPr>
      </w:pPr>
      <w:r>
        <w:rPr>
          <w:rFonts w:hint="eastAsia" w:ascii="宋体" w:hAnsi="宋体" w:eastAsia="宋体" w:cs="宋体"/>
          <w:kern w:val="2"/>
          <w:sz w:val="21"/>
          <w:szCs w:val="21"/>
          <w:lang w:val="en-US" w:eastAsia="zh-CN"/>
        </w:rPr>
        <w:t>6.</w:t>
      </w:r>
      <w:r>
        <w:rPr>
          <w:rFonts w:hint="eastAsia" w:ascii="宋体" w:hAnsi="宋体" w:eastAsia="宋体" w:cs="宋体"/>
          <w:kern w:val="2"/>
          <w:sz w:val="21"/>
          <w:szCs w:val="21"/>
        </w:rPr>
        <w:t>（24年广东卷-T5）根据个人养老金制度，开立个人养老金账户并缴费者，个人所得税综合所得汇算清缴时，按年1.2万元限额据实扣除，投资收益暂不征税，退休后领取时减按3%的税率纳税。截至2023年底，试点城市推出储蓄存款、商业养老保险四类投资产品，吸引5000多万人开户，增强了民众的获得感。从经济逻辑看，该获得感的实现路径有</w:t>
      </w:r>
    </w:p>
    <w:p w14:paraId="5C9AEA43">
      <w:pPr>
        <w:keepNext w:val="0"/>
        <w:keepLines w:val="0"/>
        <w:pageBreakBefore w:val="0"/>
        <w:widowControl/>
        <w:suppressLineNumbers w:val="0"/>
        <w:kinsoku/>
        <w:wordWrap/>
        <w:overflowPunct/>
        <w:topLinePunct w:val="0"/>
        <w:autoSpaceDE/>
        <w:autoSpaceDN/>
        <w:bidi w:val="0"/>
        <w:adjustRightInd/>
        <w:snapToGrid/>
        <w:spacing w:beforeAutospacing="0" w:afterAutospacing="0" w:line="320" w:lineRule="exact"/>
        <w:jc w:val="left"/>
        <w:rPr>
          <w:rFonts w:hint="eastAsia" w:ascii="宋体" w:hAnsi="宋体" w:eastAsia="宋体" w:cs="宋体"/>
          <w:sz w:val="21"/>
          <w:szCs w:val="21"/>
        </w:rPr>
      </w:pPr>
      <w:r>
        <w:rPr>
          <w:rFonts w:hint="eastAsia" w:ascii="宋体" w:hAnsi="宋体" w:eastAsia="宋体" w:cs="宋体"/>
          <w:kern w:val="0"/>
          <w:sz w:val="21"/>
          <w:szCs w:val="21"/>
          <w:lang w:val="en-US" w:eastAsia="zh-CN" w:bidi="ar"/>
        </w:rPr>
        <w:drawing>
          <wp:anchor distT="0" distB="0" distL="114300" distR="114300" simplePos="0" relativeHeight="251664384" behindDoc="0" locked="0" layoutInCell="1" allowOverlap="1">
            <wp:simplePos x="0" y="0"/>
            <wp:positionH relativeFrom="column">
              <wp:posOffset>190500</wp:posOffset>
            </wp:positionH>
            <wp:positionV relativeFrom="paragraph">
              <wp:posOffset>36830</wp:posOffset>
            </wp:positionV>
            <wp:extent cx="5017135" cy="1021715"/>
            <wp:effectExtent l="0" t="0" r="12065" b="6985"/>
            <wp:wrapSquare wrapText="bothSides"/>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8"/>
                    <a:stretch>
                      <a:fillRect/>
                    </a:stretch>
                  </pic:blipFill>
                  <pic:spPr>
                    <a:xfrm>
                      <a:off x="0" y="0"/>
                      <a:ext cx="5017135" cy="1021715"/>
                    </a:xfrm>
                    <a:prstGeom prst="rect">
                      <a:avLst/>
                    </a:prstGeom>
                    <a:noFill/>
                    <a:ln>
                      <a:noFill/>
                    </a:ln>
                  </pic:spPr>
                </pic:pic>
              </a:graphicData>
            </a:graphic>
          </wp:anchor>
        </w:drawing>
      </w:r>
    </w:p>
    <w:p w14:paraId="24FDE5D8">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840" w:firstLineChars="400"/>
        <w:rPr>
          <w:rFonts w:hint="eastAsia" w:ascii="宋体" w:hAnsi="宋体" w:eastAsia="宋体" w:cs="宋体"/>
          <w:sz w:val="21"/>
          <w:szCs w:val="21"/>
          <w:shd w:val="clear" w:color="auto" w:fill="FFFB00"/>
        </w:rPr>
      </w:pPr>
    </w:p>
    <w:p w14:paraId="7297AE7A">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840" w:firstLineChars="400"/>
        <w:rPr>
          <w:rFonts w:hint="eastAsia" w:ascii="宋体" w:hAnsi="宋体" w:eastAsia="宋体" w:cs="宋体"/>
          <w:sz w:val="21"/>
          <w:szCs w:val="21"/>
          <w:shd w:val="clear" w:color="auto" w:fill="FFFB00"/>
        </w:rPr>
      </w:pPr>
    </w:p>
    <w:p w14:paraId="0469EBD3">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rPr>
          <w:rFonts w:hint="eastAsia" w:ascii="宋体" w:hAnsi="宋体" w:eastAsia="宋体" w:cs="宋体"/>
          <w:sz w:val="21"/>
          <w:szCs w:val="21"/>
          <w:shd w:val="clear" w:color="auto" w:fill="FFFB00"/>
        </w:rPr>
      </w:pPr>
    </w:p>
    <w:p w14:paraId="66A5ED8E">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840" w:firstLineChars="400"/>
        <w:rPr>
          <w:rFonts w:hint="eastAsia" w:ascii="宋体" w:hAnsi="宋体" w:eastAsia="宋体" w:cs="宋体"/>
          <w:sz w:val="21"/>
          <w:szCs w:val="21"/>
          <w:shd w:val="clear" w:color="auto" w:fill="FFFB00"/>
        </w:rPr>
      </w:pPr>
    </w:p>
    <w:p w14:paraId="2A85C4D3">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840" w:firstLineChars="400"/>
        <w:rPr>
          <w:rFonts w:hint="eastAsia" w:ascii="宋体" w:hAnsi="宋体" w:eastAsia="宋体" w:cs="宋体"/>
          <w:sz w:val="21"/>
          <w:szCs w:val="21"/>
          <w:shd w:val="clear" w:color="auto" w:fill="FFFB00"/>
        </w:rPr>
      </w:pPr>
    </w:p>
    <w:p w14:paraId="3D141343">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1050" w:firstLineChars="500"/>
        <w:rPr>
          <w:rFonts w:hint="eastAsia" w:ascii="宋体" w:hAnsi="宋体" w:eastAsia="宋体" w:cs="宋体"/>
          <w:sz w:val="21"/>
          <w:szCs w:val="21"/>
        </w:rPr>
      </w:pPr>
      <w:r>
        <w:rPr>
          <w:rFonts w:hint="eastAsia" w:ascii="宋体" w:hAnsi="宋体" w:eastAsia="宋体" w:cs="宋体"/>
          <w:sz w:val="21"/>
          <w:szCs w:val="21"/>
          <w:shd w:val="clear" w:color="auto" w:fill="FFFB00"/>
        </w:rPr>
        <w:t>A.①②</w:t>
      </w:r>
      <w:r>
        <w:rPr>
          <w:rFonts w:hint="eastAsia" w:ascii="宋体" w:hAnsi="宋体" w:eastAsia="宋体" w:cs="宋体"/>
          <w:sz w:val="21"/>
          <w:szCs w:val="21"/>
        </w:rPr>
        <w:t>    </w:t>
      </w:r>
      <w:r>
        <w:rPr>
          <w:rFonts w:hint="eastAsia" w:ascii="宋体" w:hAnsi="宋体" w:eastAsia="宋体" w:cs="宋体"/>
          <w:kern w:val="2"/>
          <w:sz w:val="21"/>
          <w:szCs w:val="21"/>
        </w:rPr>
        <w:t>B.①③    C.②④    D③④</w:t>
      </w:r>
    </w:p>
    <w:p w14:paraId="4F2764EF">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rPr>
          <w:rFonts w:hint="eastAsia" w:ascii="宋体" w:hAnsi="宋体" w:eastAsia="宋体" w:cs="宋体"/>
          <w:sz w:val="21"/>
          <w:szCs w:val="21"/>
        </w:rPr>
      </w:pPr>
      <w:r>
        <w:rPr>
          <w:rFonts w:hint="eastAsia" w:ascii="宋体" w:hAnsi="宋体" w:eastAsia="宋体" w:cs="宋体"/>
          <w:kern w:val="2"/>
          <w:sz w:val="21"/>
          <w:szCs w:val="21"/>
          <w:lang w:val="en-US" w:eastAsia="zh-CN"/>
        </w:rPr>
        <w:t>7.</w:t>
      </w:r>
      <w:r>
        <w:rPr>
          <w:rFonts w:hint="eastAsia" w:ascii="宋体" w:hAnsi="宋体" w:eastAsia="宋体" w:cs="宋体"/>
          <w:kern w:val="2"/>
          <w:sz w:val="21"/>
          <w:szCs w:val="21"/>
        </w:rPr>
        <w:t>（23年福建卷-T2）2022年，福建实施稳经济一揽子政策和接续措施，夯实筑牢工业“压舱石”，消费成逆势增长“强引擎”，投资“马车”蹄疾步稳，实现了经济发展质的有效提升和量的合理增长，全年地区生产总值首次跨过5万亿元大关，位居全国第8。要继续保持经济提质增量的良好发展势头，应该</w:t>
      </w:r>
    </w:p>
    <w:p w14:paraId="565C1C2E">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highlight w:val="yellow"/>
        </w:rPr>
        <w:t>①深化放管服改革→优化营商环境→释放市场主体活力→推动经济持续健康发展</w:t>
      </w:r>
    </w:p>
    <w:p w14:paraId="6CCDC6A9">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②加大财政对居民消费的补贴力度→激发消费潜力→升级消费结构→拉动消费增长</w:t>
      </w:r>
    </w:p>
    <w:p w14:paraId="19B6F949">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③加大民生基础设施投资→鼓励生产要素投入→扩大房地产规模→提升经济总量</w:t>
      </w:r>
    </w:p>
    <w:p w14:paraId="6F340099">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highlight w:val="yellow"/>
        </w:rPr>
        <w:t>④鼓励清洁能源技术研发→培育新动能产业→推动产业升级→促进经济高质量发展</w:t>
      </w:r>
    </w:p>
    <w:p w14:paraId="1BAAE2F6">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630" w:firstLineChars="300"/>
        <w:rPr>
          <w:rFonts w:hint="eastAsia" w:ascii="宋体" w:hAnsi="宋体" w:eastAsia="宋体" w:cs="宋体"/>
          <w:sz w:val="21"/>
          <w:szCs w:val="21"/>
        </w:rPr>
      </w:pPr>
      <w:r>
        <w:rPr>
          <w:rFonts w:hint="eastAsia" w:ascii="宋体" w:hAnsi="宋体" w:eastAsia="宋体" w:cs="宋体"/>
          <w:kern w:val="2"/>
          <w:sz w:val="21"/>
          <w:szCs w:val="21"/>
        </w:rPr>
        <w:t xml:space="preserve">A.①③    </w:t>
      </w:r>
      <w:r>
        <w:rPr>
          <w:rFonts w:hint="eastAsia" w:ascii="宋体" w:hAnsi="宋体" w:eastAsia="宋体" w:cs="宋体"/>
          <w:kern w:val="2"/>
          <w:sz w:val="21"/>
          <w:szCs w:val="21"/>
          <w:shd w:val="clear" w:color="auto" w:fill="FFFB00"/>
        </w:rPr>
        <w:t>B.①④</w:t>
      </w:r>
      <w:r>
        <w:rPr>
          <w:rFonts w:hint="eastAsia" w:ascii="宋体" w:hAnsi="宋体" w:eastAsia="宋体" w:cs="宋体"/>
          <w:kern w:val="2"/>
          <w:sz w:val="21"/>
          <w:szCs w:val="21"/>
        </w:rPr>
        <w:t xml:space="preserve">    C.②③    D.②④</w:t>
      </w:r>
    </w:p>
    <w:p w14:paraId="13C893E1">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rPr>
          <w:rFonts w:hint="eastAsia" w:ascii="宋体" w:hAnsi="宋体" w:eastAsia="宋体" w:cs="宋体"/>
          <w:sz w:val="21"/>
          <w:szCs w:val="21"/>
        </w:rPr>
      </w:pPr>
      <w:r>
        <w:rPr>
          <w:rFonts w:hint="eastAsia" w:ascii="宋体" w:hAnsi="宋体" w:eastAsia="宋体" w:cs="宋体"/>
          <w:kern w:val="2"/>
          <w:sz w:val="21"/>
          <w:szCs w:val="21"/>
          <w:lang w:val="en-US" w:eastAsia="zh-CN"/>
        </w:rPr>
        <w:t>8.</w:t>
      </w:r>
      <w:r>
        <w:rPr>
          <w:rFonts w:hint="eastAsia" w:ascii="宋体" w:hAnsi="宋体" w:eastAsia="宋体" w:cs="宋体"/>
          <w:kern w:val="2"/>
          <w:sz w:val="21"/>
          <w:szCs w:val="21"/>
        </w:rPr>
        <w:t>（23年湖南卷-T4）近年来，我国人口出生率持续走低，如不加以干预，就会对未来人口和经济社会安全构成潜在风险。为此，需要加快建立生育支持政策体系，降低生育、养育、教育成本。以下政策作用路径正确的是：</w:t>
      </w:r>
    </w:p>
    <w:p w14:paraId="2D1058A7">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①发放育儿补贴→减轻税费负担→降低生育成本→增强生育意愿</w:t>
      </w:r>
    </w:p>
    <w:p w14:paraId="1146F072">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highlight w:val="yellow"/>
        </w:rPr>
        <w:t>②延长生育假期→提供时间便利→降低生育成本→增强生育意愿</w:t>
      </w:r>
    </w:p>
    <w:p w14:paraId="7ADDCE17">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highlight w:val="yellow"/>
        </w:rPr>
        <w:t>③发展普惠托育→完善公共服务→降低养育成本→增强生育意愿</w:t>
      </w:r>
    </w:p>
    <w:p w14:paraId="07F65982">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④均衡发展教育→提高教育质量→降低教育成本→增强生育意愿</w:t>
      </w:r>
    </w:p>
    <w:p w14:paraId="302A5598">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630" w:firstLineChars="300"/>
        <w:rPr>
          <w:rFonts w:hint="eastAsia" w:ascii="宋体" w:hAnsi="宋体" w:eastAsia="宋体" w:cs="宋体"/>
          <w:sz w:val="21"/>
          <w:szCs w:val="21"/>
        </w:rPr>
      </w:pPr>
      <w:r>
        <w:rPr>
          <w:rFonts w:hint="eastAsia" w:ascii="宋体" w:hAnsi="宋体" w:eastAsia="宋体" w:cs="宋体"/>
          <w:kern w:val="2"/>
          <w:sz w:val="21"/>
          <w:szCs w:val="21"/>
        </w:rPr>
        <w:t xml:space="preserve">A.①②  </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 xml:space="preserve">  B.①④   </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 xml:space="preserve"> </w:t>
      </w:r>
      <w:r>
        <w:rPr>
          <w:rFonts w:hint="eastAsia" w:ascii="宋体" w:hAnsi="宋体" w:eastAsia="宋体" w:cs="宋体"/>
          <w:kern w:val="2"/>
          <w:sz w:val="21"/>
          <w:szCs w:val="21"/>
          <w:shd w:val="clear" w:color="auto" w:fill="FFFB00"/>
        </w:rPr>
        <w:t>C.②③</w:t>
      </w:r>
      <w:r>
        <w:rPr>
          <w:rFonts w:hint="eastAsia" w:ascii="宋体" w:hAnsi="宋体" w:eastAsia="宋体" w:cs="宋体"/>
          <w:kern w:val="2"/>
          <w:sz w:val="21"/>
          <w:szCs w:val="21"/>
        </w:rPr>
        <w:t xml:space="preserve">    D.③④</w:t>
      </w:r>
    </w:p>
    <w:p w14:paraId="5347E514">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rPr>
          <w:rFonts w:hint="eastAsia" w:ascii="宋体" w:hAnsi="宋体" w:eastAsia="宋体" w:cs="宋体"/>
          <w:sz w:val="21"/>
          <w:szCs w:val="21"/>
        </w:rPr>
      </w:pPr>
      <w:r>
        <w:rPr>
          <w:rFonts w:hint="eastAsia" w:ascii="宋体" w:hAnsi="宋体" w:eastAsia="宋体" w:cs="宋体"/>
          <w:kern w:val="2"/>
          <w:sz w:val="21"/>
          <w:szCs w:val="21"/>
          <w:lang w:val="en-US" w:eastAsia="zh-CN"/>
        </w:rPr>
        <w:t>9.</w:t>
      </w:r>
      <w:r>
        <w:rPr>
          <w:rFonts w:hint="eastAsia" w:ascii="宋体" w:hAnsi="宋体" w:eastAsia="宋体" w:cs="宋体"/>
          <w:kern w:val="2"/>
          <w:sz w:val="21"/>
          <w:szCs w:val="21"/>
        </w:rPr>
        <w:t>（23年山东卷-T4）近年来，我国医保多项改革措施取得显著成效，建成全国统一的医保信息平台，2022年全国跨省异地就医直接结算基金支付809.19亿元；开展国家医保药品目录准入谈判，实现医保用药范围全国基本统一；国家集中采购7批294药品，平均降价超过50%。关于医保改革，下列传导正确的是</w:t>
      </w:r>
    </w:p>
    <w:p w14:paraId="0F41D771">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①异地就医直接结算→提高社会福利水平→提高居民参加医疗保险积极性</w:t>
      </w:r>
    </w:p>
    <w:p w14:paraId="12AE61C1">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highlight w:val="yellow"/>
        </w:rPr>
        <w:t>②医保药品目录准入谈判→筛选创新药进入目录→提升医保基金使用效能</w:t>
      </w:r>
    </w:p>
    <w:p w14:paraId="7F513D5F">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③统一医保用药范围→增加药品报销种类→满足居民高层次保险需求</w:t>
      </w:r>
    </w:p>
    <w:p w14:paraId="1A69CFDA">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highlight w:val="yellow"/>
        </w:rPr>
        <w:t>④药品集中采购→通过市场化机制以量换价→降低居民医疗负担</w:t>
      </w:r>
    </w:p>
    <w:p w14:paraId="2C62E4CD">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630" w:firstLineChars="300"/>
        <w:rPr>
          <w:rFonts w:hint="eastAsia" w:ascii="宋体" w:hAnsi="宋体" w:eastAsia="宋体" w:cs="宋体"/>
          <w:sz w:val="21"/>
          <w:szCs w:val="21"/>
        </w:rPr>
      </w:pPr>
      <w:r>
        <w:rPr>
          <w:rFonts w:hint="eastAsia" w:ascii="宋体" w:hAnsi="宋体" w:eastAsia="宋体" w:cs="宋体"/>
          <w:kern w:val="2"/>
          <w:sz w:val="21"/>
          <w:szCs w:val="21"/>
        </w:rPr>
        <w:t xml:space="preserve">A.①②   </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 xml:space="preserve"> B. ①③  </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 xml:space="preserve">  </w:t>
      </w:r>
      <w:r>
        <w:rPr>
          <w:rFonts w:hint="eastAsia" w:ascii="宋体" w:hAnsi="宋体" w:eastAsia="宋体" w:cs="宋体"/>
          <w:kern w:val="2"/>
          <w:sz w:val="21"/>
          <w:szCs w:val="21"/>
          <w:shd w:val="clear" w:color="auto" w:fill="FFFB00"/>
        </w:rPr>
        <w:t>C.②④</w:t>
      </w:r>
      <w:r>
        <w:rPr>
          <w:rFonts w:hint="eastAsia" w:ascii="宋体" w:hAnsi="宋体" w:eastAsia="宋体" w:cs="宋体"/>
          <w:kern w:val="2"/>
          <w:sz w:val="21"/>
          <w:szCs w:val="21"/>
        </w:rPr>
        <w:t xml:space="preserve">  </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 xml:space="preserve">  D.③④</w:t>
      </w:r>
    </w:p>
    <w:p w14:paraId="25894231">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rPr>
          <w:rFonts w:hint="eastAsia" w:ascii="宋体" w:hAnsi="宋体" w:eastAsia="宋体" w:cs="宋体"/>
          <w:sz w:val="21"/>
          <w:szCs w:val="21"/>
        </w:rPr>
      </w:pPr>
      <w:r>
        <w:rPr>
          <w:rFonts w:hint="eastAsia" w:ascii="宋体" w:hAnsi="宋体" w:eastAsia="宋体" w:cs="宋体"/>
          <w:kern w:val="2"/>
          <w:sz w:val="21"/>
          <w:szCs w:val="21"/>
          <w:lang w:val="en-US" w:eastAsia="zh-CN"/>
        </w:rPr>
        <w:t>10.</w:t>
      </w:r>
      <w:r>
        <w:rPr>
          <w:rFonts w:hint="eastAsia" w:ascii="宋体" w:hAnsi="宋体" w:eastAsia="宋体" w:cs="宋体"/>
          <w:kern w:val="2"/>
          <w:sz w:val="21"/>
          <w:szCs w:val="21"/>
        </w:rPr>
        <w:t>（23年江苏卷-T10）高质量发展是全面建设社会主义现代化国家的首要任务，也是中国式现代化的本质要求。我们要坚持以高质量发展为主题，推动经济实现质的有效提升和量的合理增长。下列传导路径中，能推动我国经济高质量发展的是：</w:t>
      </w:r>
    </w:p>
    <w:p w14:paraId="379B255B">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A.完善产权保护制度→优化营商环境→扩大我国对外投资规模</w:t>
      </w:r>
    </w:p>
    <w:p w14:paraId="48103842">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B.增加银行存款准备金→增加货币供给量→扩大国内消费需求</w:t>
      </w:r>
    </w:p>
    <w:p w14:paraId="2CC71240">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C.构建国内统一大市场→促进要素自由流动→缩小居民收入差距</w:t>
      </w:r>
    </w:p>
    <w:p w14:paraId="65729D0D">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highlight w:val="yellow"/>
        </w:rPr>
        <w:t>D.整合国有企业资源→优化国有经济结构→提升国有资本配置效率</w:t>
      </w:r>
    </w:p>
    <w:p w14:paraId="28EADC0A">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textAlignment w:val="center"/>
        <w:rPr>
          <w:rFonts w:hint="eastAsia" w:ascii="宋体" w:hAnsi="宋体" w:eastAsia="宋体" w:cs="宋体"/>
          <w:sz w:val="21"/>
          <w:szCs w:val="21"/>
        </w:rPr>
      </w:pPr>
      <w:r>
        <w:rPr>
          <w:rFonts w:hint="eastAsia" w:ascii="宋体" w:hAnsi="宋体" w:eastAsia="宋体" w:cs="宋体"/>
          <w:kern w:val="0"/>
          <w:sz w:val="21"/>
          <w:szCs w:val="21"/>
          <w:lang w:val="en-US" w:eastAsia="zh-CN" w:bidi="ar"/>
        </w:rPr>
        <w:drawing>
          <wp:anchor distT="0" distB="0" distL="114300" distR="114300" simplePos="0" relativeHeight="251665408" behindDoc="0" locked="0" layoutInCell="1" allowOverlap="1">
            <wp:simplePos x="0" y="0"/>
            <wp:positionH relativeFrom="column">
              <wp:posOffset>3305175</wp:posOffset>
            </wp:positionH>
            <wp:positionV relativeFrom="paragraph">
              <wp:posOffset>47625</wp:posOffset>
            </wp:positionV>
            <wp:extent cx="2845435" cy="1833880"/>
            <wp:effectExtent l="0" t="0" r="12065" b="0"/>
            <wp:wrapSquare wrapText="bothSides"/>
            <wp:docPr id="1"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IMG_257"/>
                    <pic:cNvPicPr>
                      <a:picLocks noChangeAspect="1"/>
                    </pic:cNvPicPr>
                  </pic:nvPicPr>
                  <pic:blipFill>
                    <a:blip r:embed="rId9"/>
                    <a:stretch>
                      <a:fillRect/>
                    </a:stretch>
                  </pic:blipFill>
                  <pic:spPr>
                    <a:xfrm>
                      <a:off x="0" y="0"/>
                      <a:ext cx="2845435" cy="1833880"/>
                    </a:xfrm>
                    <a:prstGeom prst="rect">
                      <a:avLst/>
                    </a:prstGeom>
                    <a:noFill/>
                    <a:ln>
                      <a:noFill/>
                    </a:ln>
                  </pic:spPr>
                </pic:pic>
              </a:graphicData>
            </a:graphic>
          </wp:anchor>
        </w:drawing>
      </w:r>
      <w:r>
        <w:rPr>
          <w:rFonts w:hint="eastAsia" w:ascii="宋体" w:hAnsi="宋体" w:eastAsia="宋体" w:cs="宋体"/>
          <w:color w:val="000000"/>
          <w:kern w:val="2"/>
          <w:sz w:val="21"/>
          <w:szCs w:val="21"/>
          <w:lang w:val="en-US" w:eastAsia="zh-CN"/>
        </w:rPr>
        <w:t>11.</w:t>
      </w:r>
      <w:r>
        <w:rPr>
          <w:rFonts w:hint="eastAsia" w:ascii="宋体" w:hAnsi="宋体" w:eastAsia="宋体" w:cs="宋体"/>
          <w:color w:val="000000"/>
          <w:kern w:val="2"/>
          <w:sz w:val="21"/>
          <w:szCs w:val="21"/>
        </w:rPr>
        <w:t>（23年辽宁卷-T10）下列对漫画所反映的劳动力市场问题的推导过程符合经济学原理的是</w:t>
      </w:r>
    </w:p>
    <w:p w14:paraId="0F1ACA50">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textAlignment w:val="center"/>
        <w:rPr>
          <w:rFonts w:hint="eastAsia" w:ascii="宋体" w:hAnsi="宋体" w:eastAsia="宋体" w:cs="宋体"/>
          <w:sz w:val="21"/>
          <w:szCs w:val="21"/>
        </w:rPr>
      </w:pPr>
      <w:r>
        <w:rPr>
          <w:rFonts w:hint="eastAsia" w:ascii="宋体" w:hAnsi="宋体" w:eastAsia="宋体" w:cs="宋体"/>
          <w:color w:val="000000"/>
          <w:kern w:val="2"/>
          <w:sz w:val="21"/>
          <w:szCs w:val="21"/>
          <w:highlight w:val="yellow"/>
        </w:rPr>
        <w:t>①专业选择先于供求信息获得→劳动者在专业选择上具有盲目性→供求难以匹配</w:t>
      </w:r>
    </w:p>
    <w:p w14:paraId="287EDE16">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textAlignment w:val="center"/>
        <w:rPr>
          <w:rFonts w:hint="eastAsia" w:ascii="宋体" w:hAnsi="宋体" w:eastAsia="宋体" w:cs="宋体"/>
          <w:sz w:val="21"/>
          <w:szCs w:val="21"/>
        </w:rPr>
      </w:pPr>
      <w:r>
        <w:rPr>
          <w:rFonts w:hint="eastAsia" w:ascii="宋体" w:hAnsi="宋体" w:eastAsia="宋体" w:cs="宋体"/>
          <w:color w:val="000000"/>
          <w:kern w:val="2"/>
          <w:sz w:val="21"/>
          <w:szCs w:val="21"/>
        </w:rPr>
        <w:t>②劳动者只看重自身眼前利益→劳动力价格上升使企业需求下降→供求难以匹配</w:t>
      </w:r>
    </w:p>
    <w:p w14:paraId="0510C9D5">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textAlignment w:val="center"/>
        <w:rPr>
          <w:rFonts w:hint="eastAsia" w:ascii="宋体" w:hAnsi="宋体" w:eastAsia="宋体" w:cs="宋体"/>
          <w:sz w:val="21"/>
          <w:szCs w:val="21"/>
        </w:rPr>
      </w:pPr>
      <w:r>
        <w:rPr>
          <w:rFonts w:hint="eastAsia" w:ascii="宋体" w:hAnsi="宋体" w:eastAsia="宋体" w:cs="宋体"/>
          <w:color w:val="000000"/>
          <w:kern w:val="2"/>
          <w:sz w:val="21"/>
          <w:szCs w:val="21"/>
          <w:highlight w:val="yellow"/>
        </w:rPr>
        <w:t>③行业间工资和福利存在差距→劳动者向高工资高福利行业集中→局部供求失衡</w:t>
      </w:r>
    </w:p>
    <w:p w14:paraId="019258A2">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textAlignment w:val="center"/>
        <w:rPr>
          <w:rFonts w:hint="eastAsia" w:ascii="宋体" w:hAnsi="宋体" w:eastAsia="宋体" w:cs="宋体"/>
          <w:sz w:val="21"/>
          <w:szCs w:val="21"/>
        </w:rPr>
      </w:pPr>
      <w:r>
        <w:rPr>
          <w:rFonts w:hint="eastAsia" w:ascii="宋体" w:hAnsi="宋体" w:eastAsia="宋体" w:cs="宋体"/>
          <w:color w:val="000000"/>
          <w:kern w:val="2"/>
          <w:sz w:val="21"/>
          <w:szCs w:val="21"/>
        </w:rPr>
        <w:t>④企业获得市场信息有滞后性→企业难以及时调整需求适应供给→局部供求失衡</w:t>
      </w:r>
    </w:p>
    <w:p w14:paraId="0104927E">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textAlignment w:val="center"/>
        <w:rPr>
          <w:rFonts w:hint="eastAsia" w:ascii="宋体" w:hAnsi="宋体" w:eastAsia="宋体" w:cs="宋体"/>
          <w:sz w:val="21"/>
          <w:szCs w:val="21"/>
        </w:rPr>
      </w:pPr>
      <w:r>
        <w:rPr>
          <w:rFonts w:hint="eastAsia" w:ascii="宋体" w:hAnsi="宋体" w:eastAsia="宋体" w:cs="宋体"/>
          <w:color w:val="000000"/>
          <w:kern w:val="2"/>
          <w:sz w:val="21"/>
          <w:szCs w:val="21"/>
          <w:shd w:val="clear" w:color="auto" w:fill="FFFB00"/>
        </w:rPr>
        <w:t>A.①③</w:t>
      </w:r>
      <w:r>
        <w:rPr>
          <w:rFonts w:hint="eastAsia" w:ascii="宋体" w:hAnsi="宋体" w:eastAsia="宋体" w:cs="宋体"/>
          <w:color w:val="000000"/>
          <w:kern w:val="2"/>
          <w:sz w:val="21"/>
          <w:szCs w:val="21"/>
        </w:rPr>
        <w:t xml:space="preserve">   </w:t>
      </w:r>
      <w:r>
        <w:rPr>
          <w:rFonts w:hint="eastAsia" w:ascii="宋体" w:hAnsi="宋体" w:eastAsia="宋体" w:cs="宋体"/>
          <w:color w:val="000000"/>
          <w:kern w:val="2"/>
          <w:sz w:val="21"/>
          <w:szCs w:val="21"/>
          <w:lang w:val="en-US" w:eastAsia="zh-CN"/>
        </w:rPr>
        <w:t xml:space="preserve">   </w:t>
      </w:r>
      <w:r>
        <w:rPr>
          <w:rFonts w:hint="eastAsia" w:ascii="宋体" w:hAnsi="宋体" w:eastAsia="宋体" w:cs="宋体"/>
          <w:color w:val="000000"/>
          <w:kern w:val="2"/>
          <w:sz w:val="21"/>
          <w:szCs w:val="21"/>
        </w:rPr>
        <w:t xml:space="preserve"> B.①④ </w:t>
      </w:r>
      <w:r>
        <w:rPr>
          <w:rFonts w:hint="eastAsia" w:ascii="宋体" w:hAnsi="宋体" w:eastAsia="宋体" w:cs="宋体"/>
          <w:color w:val="000000"/>
          <w:kern w:val="2"/>
          <w:sz w:val="21"/>
          <w:szCs w:val="21"/>
          <w:lang w:val="en-US" w:eastAsia="zh-CN"/>
        </w:rPr>
        <w:t xml:space="preserve">   </w:t>
      </w:r>
      <w:r>
        <w:rPr>
          <w:rFonts w:hint="eastAsia" w:ascii="宋体" w:hAnsi="宋体" w:eastAsia="宋体" w:cs="宋体"/>
          <w:color w:val="000000"/>
          <w:kern w:val="2"/>
          <w:sz w:val="21"/>
          <w:szCs w:val="21"/>
        </w:rPr>
        <w:t xml:space="preserve">   C.②③    D.②④</w:t>
      </w:r>
    </w:p>
    <w:p w14:paraId="5151AA03">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rPr>
          <w:rFonts w:hint="eastAsia" w:ascii="宋体" w:hAnsi="宋体" w:eastAsia="宋体" w:cs="宋体"/>
          <w:sz w:val="21"/>
          <w:szCs w:val="21"/>
        </w:rPr>
      </w:pPr>
      <w:r>
        <w:rPr>
          <w:rFonts w:hint="eastAsia" w:ascii="宋体" w:hAnsi="宋体" w:eastAsia="宋体" w:cs="宋体"/>
          <w:kern w:val="2"/>
          <w:sz w:val="21"/>
          <w:szCs w:val="21"/>
          <w:lang w:val="en-US" w:eastAsia="zh-CN"/>
        </w:rPr>
        <w:t>12.</w:t>
      </w:r>
      <w:r>
        <w:rPr>
          <w:rFonts w:hint="eastAsia" w:ascii="宋体" w:hAnsi="宋体" w:eastAsia="宋体" w:cs="宋体"/>
          <w:kern w:val="2"/>
          <w:sz w:val="21"/>
          <w:szCs w:val="21"/>
        </w:rPr>
        <w:t>（22年山东卷-T4）市场主体是我国经济活动的主要参与者，市场主体活力越强，经济“肌体”越健康。近年来，中央持续激发市场主体活力的政策取向非常鲜明。若不考虑其他因素，下列推导正确的是</w:t>
      </w:r>
    </w:p>
    <w:p w14:paraId="3E7E8DBB">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highlight w:val="yellow"/>
        </w:rPr>
        <w:t>①实施组合式税费支持政策→提高增值税起征点→缓解企业资金压力→提振企业市场信心</w:t>
      </w:r>
    </w:p>
    <w:p w14:paraId="65BABCD3">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②下调金融机构存款准备金率→加大信贷投放力度→拓宽企业融资渠道→降低企业投资风险</w:t>
      </w:r>
    </w:p>
    <w:p w14:paraId="1E900DC4">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rPr>
        <w:t>③深化要素价格市场化改革→稳定要素市场价格→优化企业要素配置→提高企业市场占有率</w:t>
      </w:r>
    </w:p>
    <w:p w14:paraId="12A3D9C6">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210" w:firstLineChars="100"/>
        <w:rPr>
          <w:rFonts w:hint="eastAsia" w:ascii="宋体" w:hAnsi="宋体" w:eastAsia="宋体" w:cs="宋体"/>
          <w:sz w:val="21"/>
          <w:szCs w:val="21"/>
        </w:rPr>
      </w:pPr>
      <w:r>
        <w:rPr>
          <w:rFonts w:hint="eastAsia" w:ascii="宋体" w:hAnsi="宋体" w:eastAsia="宋体" w:cs="宋体"/>
          <w:kern w:val="2"/>
          <w:sz w:val="21"/>
          <w:szCs w:val="21"/>
          <w:highlight w:val="yellow"/>
        </w:rPr>
        <w:t>④健全公平竞争审查制度→强化反垄断监管→防止资本无序扩张→保护中小企业生存发展空间</w:t>
      </w:r>
    </w:p>
    <w:p w14:paraId="0D0837EA">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firstLine="420" w:firstLineChars="200"/>
        <w:rPr>
          <w:rFonts w:hint="eastAsia" w:ascii="宋体" w:hAnsi="宋体" w:eastAsia="宋体" w:cs="宋体"/>
          <w:sz w:val="21"/>
          <w:szCs w:val="21"/>
        </w:rPr>
      </w:pPr>
      <w:r>
        <w:rPr>
          <w:rFonts w:hint="eastAsia" w:ascii="宋体" w:hAnsi="宋体" w:eastAsia="宋体" w:cs="宋体"/>
          <w:kern w:val="2"/>
          <w:sz w:val="21"/>
          <w:szCs w:val="21"/>
        </w:rPr>
        <w:t xml:space="preserve">A.①②  </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 xml:space="preserve">  </w:t>
      </w:r>
      <w:r>
        <w:rPr>
          <w:rFonts w:hint="eastAsia" w:ascii="宋体" w:hAnsi="宋体" w:eastAsia="宋体" w:cs="宋体"/>
          <w:kern w:val="2"/>
          <w:sz w:val="21"/>
          <w:szCs w:val="21"/>
          <w:shd w:val="clear" w:color="auto" w:fill="FFFB00"/>
        </w:rPr>
        <w:t>B.①④</w:t>
      </w:r>
      <w:r>
        <w:rPr>
          <w:rFonts w:hint="eastAsia" w:ascii="宋体" w:hAnsi="宋体" w:eastAsia="宋体" w:cs="宋体"/>
          <w:kern w:val="2"/>
          <w:sz w:val="21"/>
          <w:szCs w:val="21"/>
        </w:rPr>
        <w:t xml:space="preserve">  </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 xml:space="preserve">  C.②③    </w:t>
      </w:r>
      <w:r>
        <w:rPr>
          <w:rFonts w:hint="eastAsia" w:ascii="宋体" w:hAnsi="宋体" w:eastAsia="宋体" w:cs="宋体"/>
          <w:kern w:val="2"/>
          <w:sz w:val="21"/>
          <w:szCs w:val="21"/>
          <w:lang w:val="en-US" w:eastAsia="zh-CN"/>
        </w:rPr>
        <w:t xml:space="preserve">  </w:t>
      </w:r>
      <w:r>
        <w:rPr>
          <w:rFonts w:hint="eastAsia" w:ascii="宋体" w:hAnsi="宋体" w:eastAsia="宋体" w:cs="宋体"/>
          <w:kern w:val="2"/>
          <w:sz w:val="21"/>
          <w:szCs w:val="21"/>
        </w:rPr>
        <w:t>D.③④</w:t>
      </w:r>
    </w:p>
    <w:p w14:paraId="32EDA3B1">
      <w:pPr>
        <w:keepNext w:val="0"/>
        <w:keepLines w:val="0"/>
        <w:pageBreakBefore w:val="0"/>
        <w:widowControl w:val="0"/>
        <w:shd w:val="clear" w:color="auto" w:fill="FFFFFF"/>
        <w:tabs>
          <w:tab w:val="left" w:pos="2078"/>
          <w:tab w:val="left" w:pos="4156"/>
          <w:tab w:val="left" w:pos="6234"/>
        </w:tabs>
        <w:kinsoku/>
        <w:wordWrap/>
        <w:overflowPunct/>
        <w:topLinePunct w:val="0"/>
        <w:autoSpaceDE/>
        <w:autoSpaceDN/>
        <w:bidi w:val="0"/>
        <w:adjustRightInd/>
        <w:snapToGrid/>
        <w:spacing w:line="320" w:lineRule="exact"/>
        <w:ind w:left="380" w:firstLine="210" w:firstLineChars="100"/>
        <w:jc w:val="left"/>
        <w:textAlignment w:val="center"/>
      </w:pPr>
    </w:p>
    <w:sectPr>
      <w:headerReference r:id="rId3" w:type="default"/>
      <w:footerReference r:id="rId4" w:type="default"/>
      <w:pgSz w:w="11906" w:h="16838"/>
      <w:pgMar w:top="1157" w:right="1179" w:bottom="1157" w:left="1179" w:header="1191" w:footer="1134"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15DAB">
    <w:pPr>
      <w:tabs>
        <w:tab w:val="center" w:pos="4153"/>
        <w:tab w:val="right" w:pos="8306"/>
      </w:tabs>
      <w:snapToGrid w:val="0"/>
      <w:ind w:firstLine="1890" w:firstLineChars="900"/>
      <w:jc w:val="left"/>
      <w:rPr>
        <w:rFonts w:hint="default" w:ascii="Times New Roman" w:hAnsi="Times New Roman" w:eastAsia="宋体" w:cs="Times New Roman"/>
        <w:kern w:val="0"/>
        <w:sz w:val="21"/>
        <w:szCs w:val="21"/>
        <w:lang w:val="en-US" w:eastAsia="zh-CN"/>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455BE1">
                          <w:pPr>
                            <w:pStyle w:val="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F455BE1">
                    <w:pPr>
                      <w:pStyle w:val="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w:t>
                    </w:r>
                    <w:r>
                      <w:fldChar w:fldCharType="end"/>
                    </w:r>
                    <w:r>
                      <w:t xml:space="preserve"> 页</w:t>
                    </w:r>
                  </w:p>
                </w:txbxContent>
              </v:textbox>
            </v:shape>
          </w:pict>
        </mc:Fallback>
      </mc:AlternateContent>
    </w:r>
    <w:r>
      <w:rPr>
        <w:color w:val="FFFFFF"/>
        <w:sz w:val="21"/>
        <w:szCs w:val="21"/>
      </w:rPr>
      <w:pict>
        <v:shape id="PowerPlusWaterMarkObject1453549720" o:spid="_x0000_s2051"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shape="t" fitpath="t" trim="f" xscale="f" string="zxxk.com" style="font-family:宋体;font-size:8pt;v-same-letter-heights:f;v-text-align:center;"/>
        </v:shape>
      </w:pict>
    </w:r>
    <w:r>
      <w:rPr>
        <w:color w:val="FFFFFF"/>
        <w:sz w:val="21"/>
        <w:szCs w:val="21"/>
      </w:rPr>
      <w:pict>
        <v:shape id="图片 5" o:spid="_x0000_s2052" o:spt="75" alt="学科网 zxxk.com" type="#_x0000_t75" style="position:absolute;left:0pt;margin-left:64.05pt;margin-top:-20.75pt;height:0.05pt;width:0.05pt;z-index:251660288;mso-width-relative:page;mso-height-relative:page;" filled="f" o:preferrelative="t" stroked="f" coordsize="21600,21600">
          <v:path/>
          <v:fill on="f" focussize="0,0"/>
          <v:stroke on="f" joinstyle="miter"/>
          <v:imagedata r:id="rId1" r:href="rId2" o:title=""/>
          <o:lock v:ext="edit" aspectratio="t"/>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06E05B">
    <w:pPr>
      <w:pBdr>
        <w:bottom w:val="none" w:color="auto" w:sz="0" w:space="1"/>
      </w:pBdr>
      <w:snapToGrid w:val="0"/>
      <w:rPr>
        <w:rFonts w:hint="default" w:ascii="Times New Roman" w:hAnsi="Times New Roman" w:cs="Times New Roman" w:eastAsiaTheme="minorEastAsia"/>
        <w:color w:val="auto"/>
        <w:kern w:val="0"/>
        <w:sz w:val="18"/>
        <w:szCs w:val="18"/>
        <w:u w:val="single"/>
        <w:lang w:val="en-US" w:eastAsia="zh-CN"/>
      </w:rPr>
    </w:pPr>
    <w:r>
      <w:rPr>
        <w:color w:val="auto"/>
        <w:sz w:val="18"/>
        <w:szCs w:val="18"/>
      </w:rPr>
      <w:pict>
        <v:shape id="图片 4" o:spid="_x0000_s2049" o:spt="75" alt="学科网 zxxk.com" type="#_x0000_t75" style="position:absolute;left:0pt;margin-left:351pt;margin-top:8.45pt;height:0.75pt;width:0.75pt;z-index:251659264;mso-width-relative:page;mso-height-relative:page;" filled="f" o:preferrelative="t" stroked="f" coordsize="21600,21600">
          <v:path/>
          <v:fill on="f" focussize="0,0"/>
          <v:stroke on="f" joinstyle="miter"/>
          <v:imagedata r:id="rId1" r:href="rId2" o:title=""/>
          <o:lock v:ext="edit" aspectratio="t"/>
        </v:shape>
      </w:pict>
    </w:r>
    <w:r>
      <w:rPr>
        <w:rFonts w:hint="eastAsia" w:ascii="Times New Roman" w:hAnsi="Times New Roman" w:cs="Times New Roman"/>
        <w:color w:val="auto"/>
        <w:kern w:val="0"/>
        <w:sz w:val="18"/>
        <w:szCs w:val="18"/>
        <w:u w:val="single"/>
        <w:lang w:val="en-US" w:eastAsia="zh-CN"/>
      </w:rPr>
      <w:t xml:space="preserve">高三政治综合卷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023AC81"/>
    <w:multiLevelType w:val="singleLevel"/>
    <w:tmpl w:val="1023AC81"/>
    <w:lvl w:ilvl="0" w:tentative="0">
      <w:start w:val="1"/>
      <w:numFmt w:val="upperLetter"/>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ViNGRkMzYwNWJiMmQ1YzJjNWVkMzRhZjZiNjA5YTAifQ=="/>
  </w:docVars>
  <w:rsids>
    <w:rsidRoot w:val="3EE529E6"/>
    <w:rsid w:val="004151FC"/>
    <w:rsid w:val="00C02FC6"/>
    <w:rsid w:val="13FE19A8"/>
    <w:rsid w:val="1BC519AE"/>
    <w:rsid w:val="20E07567"/>
    <w:rsid w:val="21DE69A0"/>
    <w:rsid w:val="37FD6FE4"/>
    <w:rsid w:val="3E7F2799"/>
    <w:rsid w:val="3EE529E6"/>
    <w:rsid w:val="5155369B"/>
    <w:rsid w:val="5AD240D0"/>
    <w:rsid w:val="6C0A6532"/>
    <w:rsid w:val="6E421B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link w:val="9"/>
    <w:unhideWhenUsed/>
    <w:uiPriority w:val="99"/>
    <w:pPr>
      <w:tabs>
        <w:tab w:val="center" w:pos="4153"/>
        <w:tab w:val="right" w:pos="8306"/>
      </w:tabs>
      <w:snapToGrid w:val="0"/>
      <w:jc w:val="left"/>
    </w:pPr>
    <w:rPr>
      <w:rFonts w:ascii="Times New Roman" w:hAnsi="Times New Roman" w:eastAsia="宋体" w:cs="Times New Roman"/>
      <w:kern w:val="0"/>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rFonts w:ascii="Times New Roman" w:hAnsi="Times New Roman" w:eastAsia="宋体" w:cs="Times New Roman"/>
      <w:kern w:val="0"/>
      <w:sz w:val="18"/>
      <w:szCs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页眉 Char"/>
    <w:link w:val="3"/>
    <w:semiHidden/>
    <w:uiPriority w:val="99"/>
    <w:rPr>
      <w:rFonts w:ascii="Times New Roman" w:hAnsi="Times New Roman" w:eastAsia="宋体" w:cs="Times New Roman"/>
      <w:sz w:val="18"/>
      <w:szCs w:val="18"/>
      <w:lang w:eastAsia="zh-CN"/>
    </w:rPr>
  </w:style>
  <w:style w:type="character" w:customStyle="1" w:styleId="9">
    <w:name w:val="页脚 Char"/>
    <w:link w:val="2"/>
    <w:semiHidden/>
    <w:uiPriority w:val="99"/>
    <w:rPr>
      <w:rFonts w:ascii="Times New Roman" w:hAnsi="Times New Roman" w:eastAsia="宋体" w:cs="Times New Roman"/>
      <w:sz w:val="18"/>
      <w:szCs w:val="18"/>
      <w:lang w:eastAsia="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2525252525257B75232B38-A165-1FB7-499C-2E1C792CACB5%25252525252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2525252525257B75232B38-A165-1FB7-499C-2E1C792CACB5%252525252525257D.png" TargetMode="External"/><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49"/>
    <customShpInfo spid="_x0000_s1026" textRotate="1"/>
    <customShpInfo spid="_x0000_s2051"/>
    <customShpInfo spid="_x0000_s205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2871</Words>
  <Characters>3214</Characters>
  <Lines>0</Lines>
  <Paragraphs>0</Paragraphs>
  <TotalTime>15</TotalTime>
  <ScaleCrop>false</ScaleCrop>
  <LinksUpToDate>false</LinksUpToDate>
  <CharactersWithSpaces>3501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2023-10-08T05:27:00Z</dcterms:created>
  <dc:creator>醉花阴</dc:creator>
  <cp:lastModifiedBy>烟子</cp:lastModifiedBy>
  <dcterms:modified xsi:type="dcterms:W3CDTF">2025-03-18T07:30:30Z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ProductBuildVer">
    <vt:lpwstr>2052-12.1.0.20305</vt:lpwstr>
  </property>
  <property fmtid="{D5CDD505-2E9C-101B-9397-08002B2CF9AE}" pid="7" name="ICV">
    <vt:lpwstr>EA02416EC389417E808113D6056D8AEB_13</vt:lpwstr>
  </property>
  <property fmtid="{D5CDD505-2E9C-101B-9397-08002B2CF9AE}" pid="8" name="KSOTemplateDocerSaveRecord">
    <vt:lpwstr>eyJoZGlkIjoiNmViNGRkMzYwNWJiMmQ1YzJjNWVkMzRhZjZiNjA5YTAiLCJ1c2VySWQiOiI0MjkzMzcwOTkifQ==</vt:lpwstr>
  </property>
</Properties>
</file>