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customXml/item1.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 Id="rId4" Type="http://schemas.openxmlformats.org/officeDocument/2006/relationships/custom-properties" Target="docProps/custom.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 Generated by Aspose.Words for Java 23.3.0 -->
  <w:body>
    <w:p w14:paraId="2B2E55A0">
      <w:pPr>
        <w:jc w:val="center"/>
        <w:rPr>
          <w:sz w:val="24"/>
        </w:rPr>
      </w:pPr>
      <w:r>
        <w:rPr>
          <w:rFonts w:hint="eastAsia"/>
          <w:sz w:val="24"/>
        </w:rPr>
        <w:drawing>
          <wp:anchor simplePos="0" relativeHeight="251658240" behindDoc="0" locked="0" layoutInCell="1" allowOverlap="1">
            <wp:simplePos x="0" y="0"/>
            <wp:positionH relativeFrom="page">
              <wp:posOffset>10807700</wp:posOffset>
            </wp:positionH>
            <wp:positionV relativeFrom="topMargin">
              <wp:posOffset>10172700</wp:posOffset>
            </wp:positionV>
            <wp:extent cx="266700" cy="393700"/>
            <wp:wrapNone/>
            <wp:docPr id="100019" nam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9" name=""/>
                    <pic:cNvPicPr>
                      <a:picLocks noChangeAspect="1"/>
                    </pic:cNvPicPr>
                  </pic:nvPicPr>
                  <pic:blipFill>
                    <a:blip xmlns:r="http://schemas.openxmlformats.org/officeDocument/2006/relationships" r:embed="rId5"/>
                    <a:stretch>
                      <a:fillRect/>
                    </a:stretch>
                  </pic:blipFill>
                  <pic:spPr>
                    <a:xfrm>
                      <a:off x="0" y="0"/>
                      <a:ext cx="266700" cy="393700"/>
                    </a:xfrm>
                    <a:prstGeom prst="rect">
                      <a:avLst/>
                    </a:prstGeom>
                  </pic:spPr>
                </pic:pic>
              </a:graphicData>
            </a:graphic>
          </wp:anchor>
        </w:drawing>
      </w:r>
      <w:r>
        <w:rPr>
          <w:rFonts w:hint="eastAsia"/>
          <w:sz w:val="24"/>
        </w:rPr>
        <w:t>《再别康桥》教学设计</w:t>
      </w:r>
    </w:p>
    <w:p w14:paraId="6F97BDD7">
      <w:pPr>
        <w:jc w:val="center"/>
      </w:pPr>
      <w:r>
        <w:rPr>
          <w:rFonts w:hint="eastAsia"/>
        </w:rPr>
        <w:t xml:space="preserve"> </w:t>
      </w:r>
      <w:r>
        <w:t xml:space="preserve">                      </w:t>
      </w:r>
      <w:r>
        <w:rPr>
          <w:rFonts w:hint="eastAsia"/>
        </w:rPr>
        <w:t>——</w:t>
      </w:r>
      <w:r>
        <w:t xml:space="preserve">10220110018 </w:t>
      </w:r>
      <w:r>
        <w:rPr>
          <w:rFonts w:hint="eastAsia"/>
        </w:rPr>
        <w:t>梅译文</w:t>
      </w:r>
    </w:p>
    <w:tbl>
      <w:tblPr>
        <w:tblStyle w:val="TableGrid"/>
        <w:tblW w:w="0" w:type="auto"/>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0" w:type="dxa"/>
          <w:left w:w="108" w:type="dxa"/>
          <w:bottom w:w="0" w:type="dxa"/>
          <w:right w:w="108" w:type="dxa"/>
        </w:tblCellMar>
      </w:tblPr>
      <w:tblGrid>
        <w:gridCol w:w="824"/>
        <w:gridCol w:w="569"/>
        <w:gridCol w:w="2968"/>
        <w:gridCol w:w="1134"/>
        <w:gridCol w:w="2693"/>
      </w:tblGrid>
      <w:tr w14:paraId="07842041">
        <w:tblPrEx>
          <w:tblW w:w="0" w:type="auto"/>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0" w:type="dxa"/>
            <w:left w:w="108" w:type="dxa"/>
            <w:bottom w:w="0" w:type="dxa"/>
            <w:right w:w="108" w:type="dxa"/>
          </w:tblCellMar>
        </w:tblPrEx>
        <w:trPr>
          <w:trHeight w:val="505"/>
        </w:trPr>
        <w:tc>
          <w:tcPr>
            <w:tcW w:w="1393" w:type="dxa"/>
            <w:gridSpan w:val="2"/>
          </w:tcPr>
          <w:p w14:paraId="1E4058EC">
            <w:r>
              <w:rPr>
                <w:rFonts w:hint="eastAsia"/>
              </w:rPr>
              <w:t>教学课程</w:t>
            </w:r>
          </w:p>
        </w:tc>
        <w:tc>
          <w:tcPr>
            <w:tcW w:w="6795" w:type="dxa"/>
            <w:gridSpan w:val="3"/>
          </w:tcPr>
          <w:p w14:paraId="06F3DA6A">
            <w:r>
              <w:rPr>
                <w:rFonts w:hint="eastAsia"/>
              </w:rPr>
              <w:t>《再别康桥》</w:t>
            </w:r>
          </w:p>
        </w:tc>
      </w:tr>
      <w:tr w14:paraId="0C74ADFD">
        <w:tblPrEx>
          <w:tblW w:w="0" w:type="auto"/>
          <w:tblInd w:w="0" w:type="dxa"/>
          <w:tblLayout w:type="fixed"/>
          <w:tblCellMar>
            <w:top w:w="0" w:type="dxa"/>
            <w:left w:w="108" w:type="dxa"/>
            <w:bottom w:w="0" w:type="dxa"/>
            <w:right w:w="108" w:type="dxa"/>
          </w:tblCellMar>
        </w:tblPrEx>
        <w:trPr>
          <w:trHeight w:val="532"/>
        </w:trPr>
        <w:tc>
          <w:tcPr>
            <w:tcW w:w="1393" w:type="dxa"/>
            <w:gridSpan w:val="2"/>
          </w:tcPr>
          <w:p w14:paraId="2F0CCD2F">
            <w:r>
              <w:rPr>
                <w:rFonts w:hint="eastAsia"/>
              </w:rPr>
              <w:t>授课人</w:t>
            </w:r>
          </w:p>
        </w:tc>
        <w:tc>
          <w:tcPr>
            <w:tcW w:w="2968" w:type="dxa"/>
          </w:tcPr>
          <w:p w14:paraId="6F2FB60D">
            <w:r>
              <w:rPr>
                <w:rFonts w:hint="eastAsia"/>
              </w:rPr>
              <w:t xml:space="preserve">梅译文 </w:t>
            </w:r>
            <w:r>
              <w:t xml:space="preserve">                                       </w:t>
            </w:r>
          </w:p>
        </w:tc>
        <w:tc>
          <w:tcPr>
            <w:tcW w:w="1134" w:type="dxa"/>
            <w:tcBorders>
              <w:top w:val="single" w:sz="4" w:space="0" w:color="auto"/>
              <w:left w:val="single" w:sz="4" w:space="0" w:color="auto"/>
              <w:bottom w:val="single" w:sz="4" w:space="0" w:color="auto"/>
              <w:right w:val="single" w:sz="4" w:space="0" w:color="auto"/>
            </w:tcBorders>
          </w:tcPr>
          <w:p w14:paraId="7F0935B4">
            <w:r>
              <w:rPr>
                <w:rFonts w:hint="eastAsia"/>
              </w:rPr>
              <w:t>课时</w:t>
            </w:r>
          </w:p>
        </w:tc>
        <w:tc>
          <w:tcPr>
            <w:tcW w:w="2693" w:type="dxa"/>
          </w:tcPr>
          <w:p w14:paraId="4DED0BD1">
            <w:r>
              <w:rPr>
                <w:rFonts w:hint="eastAsia"/>
              </w:rPr>
              <w:t>1课时</w:t>
            </w:r>
          </w:p>
        </w:tc>
      </w:tr>
      <w:tr w14:paraId="1530B9E4">
        <w:tblPrEx>
          <w:tblW w:w="0" w:type="auto"/>
          <w:tblInd w:w="0" w:type="dxa"/>
          <w:tblLayout w:type="fixed"/>
          <w:tblCellMar>
            <w:top w:w="0" w:type="dxa"/>
            <w:left w:w="108" w:type="dxa"/>
            <w:bottom w:w="0" w:type="dxa"/>
            <w:right w:w="108" w:type="dxa"/>
          </w:tblCellMar>
        </w:tblPrEx>
        <w:trPr>
          <w:cantSplit/>
          <w:trHeight w:val="1449"/>
        </w:trPr>
        <w:tc>
          <w:tcPr>
            <w:tcW w:w="824" w:type="dxa"/>
            <w:vMerge w:val="restart"/>
          </w:tcPr>
          <w:p w14:paraId="26A762BB"/>
          <w:p w14:paraId="713C24F8"/>
          <w:p w14:paraId="4B095569"/>
          <w:p w14:paraId="27E3F5D0"/>
          <w:p w14:paraId="6D63E771"/>
          <w:p w14:paraId="3DD8B25D"/>
          <w:p w14:paraId="61F261F8"/>
          <w:p w14:paraId="6FCA6245"/>
          <w:p w14:paraId="5B435CD1"/>
          <w:p w14:paraId="2C181C98">
            <w:r>
              <w:rPr>
                <w:rFonts w:hint="eastAsia"/>
              </w:rPr>
              <w:t>教材</w:t>
            </w:r>
          </w:p>
          <w:p w14:paraId="0821DC8F">
            <w:r>
              <w:rPr>
                <w:rFonts w:hint="eastAsia"/>
              </w:rPr>
              <w:t>分析</w:t>
            </w:r>
          </w:p>
        </w:tc>
        <w:tc>
          <w:tcPr>
            <w:tcW w:w="569" w:type="dxa"/>
          </w:tcPr>
          <w:p w14:paraId="313084C7"/>
          <w:p w14:paraId="7D422230">
            <w:r>
              <w:rPr>
                <w:rFonts w:hint="eastAsia"/>
              </w:rPr>
              <w:t>课标</w:t>
            </w:r>
          </w:p>
          <w:p w14:paraId="2A77D8F3">
            <w:r>
              <w:rPr>
                <w:rFonts w:hint="eastAsia"/>
              </w:rPr>
              <w:t>分析</w:t>
            </w:r>
          </w:p>
        </w:tc>
        <w:tc>
          <w:tcPr>
            <w:tcW w:w="6795" w:type="dxa"/>
            <w:gridSpan w:val="3"/>
          </w:tcPr>
          <w:p w14:paraId="307353E5">
            <w:r>
              <w:rPr>
                <w:rFonts w:hint="eastAsia"/>
              </w:rPr>
              <w:t>本单元属于必修课程“中国现当代作家作品研习”学习任务群。《普通高中语文课程标准》（2017 年版 2020 年修订）在此学习任务群中明确提出“本任务群研习中国现当代代表性作家作品，包括反映改革开放以来的社会主义先进文化的作品，旨在大体了解现当代作家作品概貌，</w:t>
            </w:r>
          </w:p>
          <w:p w14:paraId="407077EE">
            <w:r>
              <w:rPr>
                <w:rFonts w:hint="eastAsia"/>
              </w:rPr>
              <w:t>培养阅读现当代文学作品的兴趣，以正确的价值观鉴赏文学作品，进</w:t>
            </w:r>
          </w:p>
          <w:p w14:paraId="66940F23">
            <w:r>
              <w:rPr>
                <w:rFonts w:hint="eastAsia"/>
              </w:rPr>
              <w:t>一步提高文学阅读和写作能力，把握中国现当代文学作品思想性、艺</w:t>
            </w:r>
          </w:p>
          <w:p w14:paraId="22B93E3E">
            <w:r>
              <w:rPr>
                <w:rFonts w:hint="eastAsia"/>
              </w:rPr>
              <w:t>术性、观赏性有机统一的价值取向”的学习目标。</w:t>
            </w:r>
          </w:p>
        </w:tc>
      </w:tr>
      <w:tr w14:paraId="739938C8">
        <w:tblPrEx>
          <w:tblW w:w="0" w:type="auto"/>
          <w:tblInd w:w="0" w:type="dxa"/>
          <w:tblLayout w:type="fixed"/>
          <w:tblCellMar>
            <w:top w:w="0" w:type="dxa"/>
            <w:left w:w="108" w:type="dxa"/>
            <w:bottom w:w="0" w:type="dxa"/>
            <w:right w:w="108" w:type="dxa"/>
          </w:tblCellMar>
        </w:tblPrEx>
        <w:trPr>
          <w:trHeight w:val="1659"/>
        </w:trPr>
        <w:tc>
          <w:tcPr>
            <w:tcW w:w="824" w:type="dxa"/>
            <w:vMerge/>
          </w:tcPr>
          <w:p w14:paraId="106AC4A9"/>
        </w:tc>
        <w:tc>
          <w:tcPr>
            <w:tcW w:w="569" w:type="dxa"/>
          </w:tcPr>
          <w:p w14:paraId="5531FA13"/>
          <w:p w14:paraId="50973A4E">
            <w:r>
              <w:rPr>
                <w:rFonts w:hint="eastAsia"/>
              </w:rPr>
              <w:t>单元</w:t>
            </w:r>
          </w:p>
          <w:p w14:paraId="40229C96">
            <w:r>
              <w:rPr>
                <w:rFonts w:hint="eastAsia"/>
              </w:rPr>
              <w:t>分析</w:t>
            </w:r>
          </w:p>
        </w:tc>
        <w:tc>
          <w:tcPr>
            <w:tcW w:w="6795" w:type="dxa"/>
            <w:gridSpan w:val="3"/>
          </w:tcPr>
          <w:p w14:paraId="35EB6700">
            <w:r>
              <w:rPr>
                <w:rFonts w:hint="eastAsia"/>
              </w:rPr>
              <w:t>《再别康桥》是部编版高中语文选择性必修下册，第二单元第六课两首现代诗之一。本单元所选都是现当代文学中的优秀作品，有小说、诗歌、散文、话剧，涵盖了新文学的主要体裁，体现了现当代文学创作的多方面成就。把这些作品集中起来研读，可以对现当代文学创作的概貌有个大致的了解，还可以加深对百年来中国社会变革与发展，特别是对人的心灵变化的认识。</w:t>
            </w:r>
          </w:p>
          <w:p w14:paraId="1E2D8C21">
            <w:r>
              <w:rPr>
                <w:rFonts w:hint="eastAsia"/>
              </w:rPr>
              <w:t>研习本单元，要结合特定的社会历史背景，理解作品的思想文化内涵，探索其中蕴含的民族心理和时代精神，了解百年来人们社会生活和情感世界变动的轨迹。要根据各种文学体裁不同的艺术表现方式，多角度、多层面探究作品的意蕴；注重对作品的个性化解读，获得鲜活的审美体验。</w:t>
            </w:r>
          </w:p>
        </w:tc>
      </w:tr>
      <w:tr w14:paraId="1263C584">
        <w:tblPrEx>
          <w:tblW w:w="0" w:type="auto"/>
          <w:tblInd w:w="0" w:type="dxa"/>
          <w:tblLayout w:type="fixed"/>
          <w:tblCellMar>
            <w:top w:w="0" w:type="dxa"/>
            <w:left w:w="108" w:type="dxa"/>
            <w:bottom w:w="0" w:type="dxa"/>
            <w:right w:w="108" w:type="dxa"/>
          </w:tblCellMar>
        </w:tblPrEx>
        <w:trPr>
          <w:trHeight w:val="90"/>
        </w:trPr>
        <w:tc>
          <w:tcPr>
            <w:tcW w:w="824" w:type="dxa"/>
            <w:vMerge/>
          </w:tcPr>
          <w:p w14:paraId="5B0332D6"/>
        </w:tc>
        <w:tc>
          <w:tcPr>
            <w:tcW w:w="569" w:type="dxa"/>
          </w:tcPr>
          <w:p w14:paraId="4D5FB563"/>
          <w:p w14:paraId="62FD2184">
            <w:r>
              <w:rPr>
                <w:rFonts w:hint="eastAsia"/>
              </w:rPr>
              <w:t>课文</w:t>
            </w:r>
          </w:p>
          <w:p w14:paraId="351E3779">
            <w:r>
              <w:rPr>
                <w:rFonts w:hint="eastAsia"/>
              </w:rPr>
              <w:t>分析</w:t>
            </w:r>
          </w:p>
        </w:tc>
        <w:tc>
          <w:tcPr>
            <w:tcW w:w="6795" w:type="dxa"/>
            <w:gridSpan w:val="3"/>
          </w:tcPr>
          <w:p w14:paraId="489DFD05">
            <w:r>
              <w:rPr>
                <w:rFonts w:hint="eastAsia"/>
              </w:rPr>
              <w:t>《再别康桥》是中国现代诗人徐志摩的诗作，是新月派诗歌的代表作。此诗以离别康桥时感情起伏为线索，抒发了对康桥依依惜别的深情。全诗语言轻盈柔和，形式精巧圆熟，诗人用虚实相间的手法，描绘了一幅幅流动的画面，构成了一处处美妙的意境，细致入微地将诗人对康桥的爱恋，对往昔生活的怀念，对眼前的无可奈何的离愁，表现得真挚、浓郁、隽永，是徐志摩诗歌中的绝唱。</w:t>
            </w:r>
          </w:p>
        </w:tc>
      </w:tr>
      <w:tr w14:paraId="0DDBD3C8">
        <w:tblPrEx>
          <w:tblW w:w="0" w:type="auto"/>
          <w:tblInd w:w="0" w:type="dxa"/>
          <w:tblLayout w:type="fixed"/>
          <w:tblCellMar>
            <w:top w:w="0" w:type="dxa"/>
            <w:left w:w="108" w:type="dxa"/>
            <w:bottom w:w="0" w:type="dxa"/>
            <w:right w:w="108" w:type="dxa"/>
          </w:tblCellMar>
        </w:tblPrEx>
        <w:trPr>
          <w:trHeight w:val="657"/>
        </w:trPr>
        <w:tc>
          <w:tcPr>
            <w:tcW w:w="824" w:type="dxa"/>
          </w:tcPr>
          <w:p w14:paraId="62FB6487"/>
          <w:p w14:paraId="33B5E4DD">
            <w:r>
              <w:rPr>
                <w:rFonts w:hint="eastAsia"/>
              </w:rPr>
              <w:t>学情</w:t>
            </w:r>
          </w:p>
          <w:p w14:paraId="336D8BCE">
            <w:r>
              <w:rPr>
                <w:rFonts w:hint="eastAsia"/>
              </w:rPr>
              <w:t>分析</w:t>
            </w:r>
          </w:p>
        </w:tc>
        <w:tc>
          <w:tcPr>
            <w:tcW w:w="7364" w:type="dxa"/>
            <w:gridSpan w:val="4"/>
          </w:tcPr>
          <w:p w14:paraId="65FC089B">
            <w:r>
              <w:rPr>
                <w:rFonts w:hint="eastAsia"/>
              </w:rPr>
              <w:t>高一新生，好奇，情感体验相对肤浅。本诗是一首融情于景、情景交融的抒情诗，由康桥的景物引向诗人心灵深处，高一新生理解起来有一定难度，需要在课前布置预习任务，采取诵读涵咏，整体感知、梳理文脉、思考品味、合作鉴赏、拓展迁移等教学步骤，引导学生理解诗中的意象，进而提高学生的理解能力和鉴赏水平，体悟作者含蓄而深沉的思想感情。</w:t>
            </w:r>
          </w:p>
        </w:tc>
      </w:tr>
      <w:tr w14:paraId="7DB19A3C">
        <w:tblPrEx>
          <w:tblW w:w="0" w:type="auto"/>
          <w:tblInd w:w="0" w:type="dxa"/>
          <w:tblLayout w:type="fixed"/>
          <w:tblCellMar>
            <w:top w:w="0" w:type="dxa"/>
            <w:left w:w="108" w:type="dxa"/>
            <w:bottom w:w="0" w:type="dxa"/>
            <w:right w:w="108" w:type="dxa"/>
          </w:tblCellMar>
        </w:tblPrEx>
        <w:trPr>
          <w:trHeight w:val="2876"/>
        </w:trPr>
        <w:tc>
          <w:tcPr>
            <w:tcW w:w="824" w:type="dxa"/>
          </w:tcPr>
          <w:p w14:paraId="1ED0B8E7">
            <w:r>
              <w:rPr>
                <w:rFonts w:hint="eastAsia"/>
              </w:rPr>
              <w:t>教学</w:t>
            </w:r>
          </w:p>
          <w:p w14:paraId="75A65316">
            <w:r>
              <w:rPr>
                <w:rFonts w:hint="eastAsia"/>
              </w:rPr>
              <w:t>目标</w:t>
            </w:r>
          </w:p>
        </w:tc>
        <w:tc>
          <w:tcPr>
            <w:tcW w:w="7364" w:type="dxa"/>
            <w:gridSpan w:val="4"/>
          </w:tcPr>
          <w:p w14:paraId="7AADBF75">
            <w:r>
              <w:rPr>
                <w:rFonts w:hint="eastAsia"/>
              </w:rPr>
              <w:t>1、在逐步深入的朗读中领会诗人情绪的变化和诗歌的美。</w:t>
            </w:r>
          </w:p>
          <w:p w14:paraId="548687FC">
            <w:r>
              <w:rPr>
                <w:rFonts w:hint="eastAsia"/>
              </w:rPr>
              <w:t>2、联系诗人生平，分析诗中意象，探究康桥情结在诗中的隐喻意义，品味意境中蕴含着的诗人情感。</w:t>
            </w:r>
          </w:p>
          <w:p w14:paraId="1048139C">
            <w:r>
              <w:rPr>
                <w:rFonts w:hint="eastAsia"/>
              </w:rPr>
              <w:t>3、感知《再别康桥》的诗意美（建筑美、音乐美、绘画美）， 体会本诗章法整齐、韵律优美的艺术特点并学习这种写法。</w:t>
            </w:r>
          </w:p>
          <w:p w14:paraId="0BB62D6B">
            <w:r>
              <w:rPr>
                <w:rFonts w:hint="eastAsia"/>
              </w:rPr>
              <w:t>4、领会诗歌通过意象传情达意的传统，培养学生感悟美、感悟爱、感悟自由的能力。</w:t>
            </w:r>
          </w:p>
        </w:tc>
      </w:tr>
      <w:tr w14:paraId="42F8EF65">
        <w:tblPrEx>
          <w:tblW w:w="0" w:type="auto"/>
          <w:tblInd w:w="0" w:type="dxa"/>
          <w:tblLayout w:type="fixed"/>
          <w:tblCellMar>
            <w:top w:w="0" w:type="dxa"/>
            <w:left w:w="108" w:type="dxa"/>
            <w:bottom w:w="0" w:type="dxa"/>
            <w:right w:w="108" w:type="dxa"/>
          </w:tblCellMar>
        </w:tblPrEx>
        <w:trPr>
          <w:trHeight w:val="1775"/>
        </w:trPr>
        <w:tc>
          <w:tcPr>
            <w:tcW w:w="824" w:type="dxa"/>
          </w:tcPr>
          <w:p w14:paraId="051DC769">
            <w:r>
              <w:rPr>
                <w:rFonts w:hint="eastAsia"/>
              </w:rPr>
              <w:t>教学</w:t>
            </w:r>
          </w:p>
          <w:p w14:paraId="431740B2">
            <w:r>
              <w:rPr>
                <w:rFonts w:hint="eastAsia"/>
              </w:rPr>
              <w:t>重难</w:t>
            </w:r>
          </w:p>
          <w:p w14:paraId="35A8462F">
            <w:r>
              <w:rPr>
                <w:rFonts w:hint="eastAsia"/>
              </w:rPr>
              <w:t>点</w:t>
            </w:r>
          </w:p>
          <w:p w14:paraId="03D9E7C1"/>
        </w:tc>
        <w:tc>
          <w:tcPr>
            <w:tcW w:w="7364" w:type="dxa"/>
            <w:gridSpan w:val="4"/>
          </w:tcPr>
          <w:p w14:paraId="61CF8B66">
            <w:pPr>
              <w:rPr>
                <w:b/>
                <w:bCs/>
              </w:rPr>
            </w:pPr>
            <w:r>
              <w:rPr>
                <w:rFonts w:hint="eastAsia"/>
                <w:b/>
                <w:bCs/>
              </w:rPr>
              <w:t>教学重点：</w:t>
            </w:r>
          </w:p>
          <w:p w14:paraId="12F3E4EB">
            <w:r>
              <w:rPr>
                <w:rFonts w:hint="eastAsia"/>
              </w:rPr>
              <w:t>综合运用多种鉴赏方法，分析诗中意象，把握《再别康桥》的整体意境，提高新诗的鉴赏能力。</w:t>
            </w:r>
          </w:p>
          <w:p w14:paraId="06C127EE">
            <w:pPr>
              <w:rPr>
                <w:b/>
                <w:bCs/>
              </w:rPr>
            </w:pPr>
            <w:r>
              <w:rPr>
                <w:rFonts w:hint="eastAsia"/>
                <w:b/>
                <w:bCs/>
              </w:rPr>
              <w:t>教学难点：</w:t>
            </w:r>
          </w:p>
          <w:p w14:paraId="293C4D36">
            <w:r>
              <w:rPr>
                <w:rFonts w:hint="eastAsia"/>
              </w:rPr>
              <w:t>品析诗歌所蕴含的音乐美、建筑美、绘画美。</w:t>
            </w:r>
          </w:p>
        </w:tc>
      </w:tr>
      <w:tr w14:paraId="0751FA5A">
        <w:tblPrEx>
          <w:tblW w:w="0" w:type="auto"/>
          <w:tblInd w:w="0" w:type="dxa"/>
          <w:tblLayout w:type="fixed"/>
          <w:tblCellMar>
            <w:top w:w="0" w:type="dxa"/>
            <w:left w:w="108" w:type="dxa"/>
            <w:bottom w:w="0" w:type="dxa"/>
            <w:right w:w="108" w:type="dxa"/>
          </w:tblCellMar>
        </w:tblPrEx>
        <w:trPr>
          <w:trHeight w:val="899"/>
        </w:trPr>
        <w:tc>
          <w:tcPr>
            <w:tcW w:w="824" w:type="dxa"/>
          </w:tcPr>
          <w:p w14:paraId="6C0CF1C9">
            <w:r>
              <w:rPr>
                <w:rFonts w:hint="eastAsia"/>
              </w:rPr>
              <w:t>教学</w:t>
            </w:r>
          </w:p>
          <w:p w14:paraId="08DAEB66">
            <w:r>
              <w:rPr>
                <w:rFonts w:hint="eastAsia"/>
              </w:rPr>
              <w:t>策略</w:t>
            </w:r>
          </w:p>
        </w:tc>
        <w:tc>
          <w:tcPr>
            <w:tcW w:w="7364" w:type="dxa"/>
            <w:gridSpan w:val="4"/>
          </w:tcPr>
          <w:p w14:paraId="441656BD">
            <w:r>
              <w:rPr>
                <w:rFonts w:hint="eastAsia"/>
              </w:rPr>
              <w:t>高中语文课程标准倡导自主、合作、探究的学习方式，教学过程应重视学生的实践活动，引导学生主动地获取知识，全面提高学生的语文能力。因此可以用以下教学方法实施教学：</w:t>
            </w:r>
          </w:p>
          <w:p w14:paraId="2DA3D3A9">
            <w:r>
              <w:rPr>
                <w:rFonts w:hint="eastAsia"/>
              </w:rPr>
              <w:t>1.朗读法：让学生在朗读中自我感知课文内容及情感，体会诗歌的意境和主旨。</w:t>
            </w:r>
          </w:p>
          <w:p w14:paraId="56C7E9C2">
            <w:r>
              <w:rPr>
                <w:rFonts w:hint="eastAsia"/>
              </w:rPr>
              <w:t>2.讨论点拨法：从不同角度设疑，启发学生思考，让学生以小组的形式自主解决疑问，把握诗文内涵，并在理解的基础上，当堂记忆诗歌。</w:t>
            </w:r>
          </w:p>
          <w:p w14:paraId="47580F48">
            <w:r>
              <w:rPr>
                <w:rFonts w:hint="eastAsia"/>
              </w:rPr>
              <w:t>3.多媒体教学法：利用多媒体手段，为学生创设情境，及时总结，扩大学生的知识面，更好地理解诗歌。</w:t>
            </w:r>
          </w:p>
        </w:tc>
      </w:tr>
      <w:tr w14:paraId="79741D02">
        <w:tblPrEx>
          <w:tblW w:w="0" w:type="auto"/>
          <w:tblInd w:w="0" w:type="dxa"/>
          <w:tblLayout w:type="fixed"/>
          <w:tblCellMar>
            <w:top w:w="0" w:type="dxa"/>
            <w:left w:w="108" w:type="dxa"/>
            <w:bottom w:w="0" w:type="dxa"/>
            <w:right w:w="108" w:type="dxa"/>
          </w:tblCellMar>
        </w:tblPrEx>
        <w:trPr>
          <w:trHeight w:val="90"/>
        </w:trPr>
        <w:tc>
          <w:tcPr>
            <w:tcW w:w="824" w:type="dxa"/>
          </w:tcPr>
          <w:p w14:paraId="6CB85F96">
            <w:r>
              <w:rPr>
                <w:rFonts w:hint="eastAsia"/>
              </w:rPr>
              <w:t>教学</w:t>
            </w:r>
          </w:p>
          <w:p w14:paraId="27ECDD27">
            <w:r>
              <w:rPr>
                <w:rFonts w:hint="eastAsia"/>
              </w:rPr>
              <w:t>平台</w:t>
            </w:r>
          </w:p>
        </w:tc>
        <w:tc>
          <w:tcPr>
            <w:tcW w:w="7364" w:type="dxa"/>
            <w:gridSpan w:val="4"/>
          </w:tcPr>
          <w:p w14:paraId="4D806E6E">
            <w:r>
              <w:rPr>
                <w:rFonts w:hint="eastAsia"/>
              </w:rPr>
              <w:t>黑板、多媒体、PPT</w:t>
            </w:r>
          </w:p>
        </w:tc>
      </w:tr>
      <w:tr w14:paraId="515800CC">
        <w:tblPrEx>
          <w:tblW w:w="0" w:type="auto"/>
          <w:tblInd w:w="0" w:type="dxa"/>
          <w:tblLayout w:type="fixed"/>
          <w:tblCellMar>
            <w:top w:w="0" w:type="dxa"/>
            <w:left w:w="108" w:type="dxa"/>
            <w:bottom w:w="0" w:type="dxa"/>
            <w:right w:w="108" w:type="dxa"/>
          </w:tblCellMar>
        </w:tblPrEx>
        <w:trPr>
          <w:trHeight w:val="3173"/>
        </w:trPr>
        <w:tc>
          <w:tcPr>
            <w:tcW w:w="824" w:type="dxa"/>
            <w:vMerge w:val="restart"/>
          </w:tcPr>
          <w:p w14:paraId="7634584C"/>
          <w:p w14:paraId="4A2E6929"/>
          <w:p w14:paraId="2D060B73"/>
          <w:p w14:paraId="61044161"/>
          <w:p w14:paraId="01336C2F"/>
          <w:p w14:paraId="7A00D291">
            <w:r>
              <w:rPr>
                <w:rFonts w:hint="eastAsia"/>
              </w:rPr>
              <w:t>教</w:t>
            </w:r>
          </w:p>
          <w:p w14:paraId="3ABDC0FB">
            <w:r>
              <w:rPr>
                <w:rFonts w:hint="eastAsia"/>
              </w:rPr>
              <w:t>学</w:t>
            </w:r>
          </w:p>
          <w:p w14:paraId="56E85E41">
            <w:r>
              <w:rPr>
                <w:rFonts w:hint="eastAsia"/>
              </w:rPr>
              <w:t>过</w:t>
            </w:r>
          </w:p>
          <w:p w14:paraId="1282D596">
            <w:r>
              <w:rPr>
                <w:rFonts w:hint="eastAsia"/>
              </w:rPr>
              <w:t>程</w:t>
            </w:r>
          </w:p>
        </w:tc>
        <w:tc>
          <w:tcPr>
            <w:tcW w:w="7364" w:type="dxa"/>
            <w:gridSpan w:val="4"/>
          </w:tcPr>
          <w:tbl>
            <w:tblPr>
              <w:tblStyle w:val="TableGrid"/>
              <w:tblW w:w="8155" w:type="dxa"/>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0" w:type="dxa"/>
                <w:left w:w="108" w:type="dxa"/>
                <w:bottom w:w="0" w:type="dxa"/>
                <w:right w:w="108" w:type="dxa"/>
              </w:tblCellMar>
            </w:tblPr>
            <w:tblGrid>
              <w:gridCol w:w="3996"/>
              <w:gridCol w:w="4159"/>
            </w:tblGrid>
            <w:tr w14:paraId="04D8BE17">
              <w:tblPrEx>
                <w:tblW w:w="8155" w:type="dxa"/>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0" w:type="dxa"/>
                  <w:left w:w="108" w:type="dxa"/>
                  <w:bottom w:w="0" w:type="dxa"/>
                  <w:right w:w="108" w:type="dxa"/>
                </w:tblCellMar>
              </w:tblPrEx>
              <w:trPr>
                <w:trHeight w:val="283"/>
              </w:trPr>
              <w:tc>
                <w:tcPr>
                  <w:tcW w:w="2450" w:type="pct"/>
                </w:tcPr>
                <w:p w14:paraId="20397B17">
                  <w:r>
                    <w:rPr>
                      <w:rFonts w:hint="eastAsia"/>
                    </w:rPr>
                    <w:t>环节一：导入</w:t>
                  </w:r>
                </w:p>
              </w:tc>
              <w:tc>
                <w:tcPr>
                  <w:tcW w:w="2549" w:type="pct"/>
                </w:tcPr>
                <w:p w14:paraId="4F2602BB">
                  <w:pPr>
                    <w:rPr>
                      <w:rFonts w:ascii="楷体" w:hAnsi="楷体"/>
                    </w:rPr>
                  </w:pPr>
                  <w:r>
                    <w:rPr>
                      <w:rFonts w:hint="eastAsia"/>
                    </w:rPr>
                    <w:t>2</w:t>
                  </w:r>
                  <w:r>
                    <w:t>min</w:t>
                  </w:r>
                </w:p>
              </w:tc>
            </w:tr>
          </w:tbl>
          <w:p w14:paraId="60B35557">
            <w:r>
              <w:rPr>
                <w:rFonts w:hint="eastAsia"/>
              </w:rPr>
              <w:t>江淹《别赋》中有一句话“黯然销魂者，唯别而已矣”，从古到今，关于“离别”这个话题，历代诗人写下了许多动人的诗歌，大家有没有想到一些关于“离别”的诗句呢？（请同学分享）</w:t>
            </w:r>
          </w:p>
          <w:p w14:paraId="0491C847">
            <w:r>
              <w:rPr>
                <w:rFonts w:hint="eastAsia"/>
              </w:rPr>
              <w:t>P</w:t>
            </w:r>
            <w:r>
              <w:t>PT</w:t>
            </w:r>
            <w:r>
              <w:rPr>
                <w:rFonts w:hint="eastAsia"/>
              </w:rPr>
              <w:t>明确：古诗里的离别情</w:t>
            </w:r>
          </w:p>
          <w:p w14:paraId="3C7ACE04">
            <w:r>
              <w:rPr>
                <w:rFonts w:hint="eastAsia"/>
              </w:rPr>
              <w:t>故人西辞黄鹤楼，烟花三月下扬州。—— 李白《黄鹤楼送孟浩然之广陵》</w:t>
            </w:r>
          </w:p>
          <w:p w14:paraId="46BD1368">
            <w:r>
              <w:rPr>
                <w:rFonts w:hint="eastAsia"/>
              </w:rPr>
              <w:t>海内存知己，天涯若比邻。—— 王勃《送杜少府之任蜀州》</w:t>
            </w:r>
          </w:p>
          <w:p w14:paraId="6224E3A0">
            <w:r>
              <w:rPr>
                <w:rFonts w:hint="eastAsia"/>
              </w:rPr>
              <w:t>劝君更尽一杯酒，西出阳关无故人。—— 王维《渭城曲》</w:t>
            </w:r>
          </w:p>
          <w:p w14:paraId="0A390C66">
            <w:r>
              <w:rPr>
                <w:rFonts w:hint="eastAsia"/>
              </w:rPr>
              <w:t>洛阳亲友如相问，一片冰心在玉壶。—— 王昌龄《芙蓉楼送辛渐》</w:t>
            </w:r>
          </w:p>
          <w:p w14:paraId="46DAABE2">
            <w:r>
              <w:rPr>
                <w:rFonts w:hint="eastAsia"/>
              </w:rPr>
              <w:t>相见时难别亦难，东风无力百花残。—— 李商隐《无题·相见时难别亦难》</w:t>
            </w:r>
          </w:p>
          <w:p w14:paraId="2875B9C3">
            <w:r>
              <w:rPr>
                <w:rFonts w:hint="eastAsia"/>
              </w:rPr>
              <w:t>今天我们一起学习一首诗《再别康桥》，看看诗人是如何将这种离愁别绪发挥到极致的。</w:t>
            </w:r>
          </w:p>
          <w:p w14:paraId="1DE629D8">
            <w:r>
              <w:rPr>
                <w:rFonts w:hint="eastAsia"/>
              </w:rPr>
              <w:t>板书：再别康桥—徐志摩</w:t>
            </w:r>
          </w:p>
          <w:tbl>
            <w:tblPr>
              <w:tblStyle w:val="TableGrid"/>
              <w:tblW w:w="8155" w:type="dxa"/>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0" w:type="dxa"/>
                <w:left w:w="108" w:type="dxa"/>
                <w:bottom w:w="0" w:type="dxa"/>
                <w:right w:w="108" w:type="dxa"/>
              </w:tblCellMar>
            </w:tblPr>
            <w:tblGrid>
              <w:gridCol w:w="3996"/>
              <w:gridCol w:w="4159"/>
            </w:tblGrid>
            <w:tr w14:paraId="5BC9CBCB">
              <w:tblPrEx>
                <w:tblW w:w="8155" w:type="dxa"/>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0" w:type="dxa"/>
                  <w:left w:w="108" w:type="dxa"/>
                  <w:bottom w:w="0" w:type="dxa"/>
                  <w:right w:w="108" w:type="dxa"/>
                </w:tblCellMar>
              </w:tblPrEx>
              <w:trPr>
                <w:trHeight w:val="283"/>
              </w:trPr>
              <w:tc>
                <w:tcPr>
                  <w:tcW w:w="2450" w:type="pct"/>
                </w:tcPr>
                <w:p w14:paraId="55252890">
                  <w:r>
                    <w:rPr>
                      <w:rFonts w:hint="eastAsia"/>
                    </w:rPr>
                    <w:t>环节二：初读课文，整体感知</w:t>
                  </w:r>
                </w:p>
              </w:tc>
              <w:tc>
                <w:tcPr>
                  <w:tcW w:w="2549" w:type="pct"/>
                </w:tcPr>
                <w:p w14:paraId="2B9BEDCF">
                  <w:pPr>
                    <w:rPr>
                      <w:rFonts w:ascii="楷体" w:hAnsi="楷体"/>
                    </w:rPr>
                  </w:pPr>
                  <w:r>
                    <w:t>13min</w:t>
                  </w:r>
                </w:p>
              </w:tc>
            </w:tr>
          </w:tbl>
          <w:p w14:paraId="41CD51D4">
            <w:r>
              <w:t>1.</w:t>
            </w:r>
            <w:r>
              <w:rPr>
                <w:rFonts w:hint="eastAsia"/>
              </w:rPr>
              <w:t>播放名家范读音频，解决读音及节奏。</w:t>
            </w:r>
          </w:p>
          <w:p w14:paraId="2E115BC1">
            <w:r>
              <w:rPr>
                <w:rFonts w:hint="eastAsia"/>
              </w:rPr>
              <w:t>通过刚才的倾听大家对这首诗有了初步的印象，你们觉得这首诗写的怎么样？作者作别的康桥美不美？“美”</w:t>
            </w:r>
          </w:p>
          <w:p w14:paraId="274B8D74">
            <w:r>
              <w:rPr>
                <w:rFonts w:hint="eastAsia"/>
              </w:rPr>
              <w:t>板书：美</w:t>
            </w:r>
          </w:p>
          <w:p w14:paraId="1E0FC4C7">
            <w:r>
              <w:t>2.</w:t>
            </w:r>
            <w:r>
              <w:rPr>
                <w:rFonts w:hint="eastAsia"/>
              </w:rPr>
              <w:t>在这里面它描绘的一些形象也给我们创作了一种环境，你觉得这首诗抒发了作者一种怎样的感情？</w:t>
            </w:r>
          </w:p>
          <w:p w14:paraId="6018E7D1">
            <w:r>
              <w:rPr>
                <w:rFonts w:hint="eastAsia"/>
              </w:rPr>
              <w:t>明确：“依依惜别”“离情别绪”“忧愁”</w:t>
            </w:r>
          </w:p>
          <w:p w14:paraId="5339EC4A">
            <w:r>
              <w:rPr>
                <w:rFonts w:hint="eastAsia"/>
              </w:rPr>
              <w:t>大家整体把握都很准确，都捕捉到了作者淡淡的离愁，那么我们应该用怎样的感情基调去朗读呢？请大家带着这种的沉郁离愁的情感，我们一起把这首诗朗诵一遍。</w:t>
            </w:r>
          </w:p>
          <w:p w14:paraId="78A178F7">
            <w:r>
              <w:rPr>
                <w:rFonts w:hint="eastAsia"/>
              </w:rPr>
              <w:t>板书：离愁</w:t>
            </w:r>
          </w:p>
          <w:p w14:paraId="53A9CB23">
            <w:r>
              <w:t>3.</w:t>
            </w:r>
            <w:r>
              <w:rPr>
                <w:rFonts w:hint="eastAsia"/>
              </w:rPr>
              <w:t xml:space="preserve">大家有没有想过，作者为何对康桥依依不舍？谁能给大家介绍你知道的徐志摩？    </w:t>
            </w:r>
          </w:p>
          <w:p w14:paraId="1E13A839">
            <w:r>
              <w:rPr>
                <w:rFonts w:hint="eastAsia"/>
              </w:rPr>
              <w:t>明确：介绍徐志摩、新月诗派和创作背景。</w:t>
            </w:r>
          </w:p>
          <w:p w14:paraId="6F2C6E42">
            <w:r>
              <w:rPr>
                <w:rFonts w:hint="eastAsia"/>
              </w:rPr>
              <w:t>①作者简介：徐志摩(1897—1931),浙江海宁人。现代诗人、散文家。笔名云中鹤、南湖、诗哲。1916年入北京大学法科，并于同年与张幼仪成婚。1918年赴 美学习银行学。1920年赴英国剑桥大学，攻读博士学位。其间爱恋林徽因，并于1922年与张幼仪离异。同年8月辞别剑桥启程回国。历任北京大学、清华  大学教授。1923年与胡适等成立新月社。1924年，印度大诗人泰戈尔访华，徐志摩任翻译。同年认识有夫之妇陆小曼。1926年10月，与陆小曼结婚。1930年秋，应胡适之邀，到北京大学任教授。1931年11月19日，从南京乘飞机去北平，途中飞机失事，不幸遇难，死于泰山脚下，时年35岁。</w:t>
            </w:r>
          </w:p>
          <w:p w14:paraId="3FF6C41A">
            <w:r>
              <w:rPr>
                <w:rFonts w:hint="eastAsia"/>
              </w:rPr>
              <w:t>②徐志摩的“康桥情结”：康桥cambridge, 即剑桥，邻近康河，以剑桥大学闻名于世。诗人曾在剑桥大学学习生活过。1922年，第一次离开剑桥，写下长诗《康桥，再会吧》；1926年，第二次旅游英国，留下散文《我所知道的康桥》 ；1928年，第三次去剑桥，告别剑桥，留下佳作《再别康桥》。康桥是诗人爱之梦破灭的地方，在那里，他结识了影响他生命、终生为之倾慕的一个重要女性——林徽因。康桥是诗人美之梦蕴积的地方，在那里，他遇到了当时伟大的诗人泰戈尔，他的诗作很大程度上都受到了这位大师的影响。</w:t>
            </w:r>
          </w:p>
          <w:p w14:paraId="2E8AE48F">
            <w:pPr>
              <w:jc w:val="left"/>
            </w:pPr>
            <w:r>
              <w:rPr>
                <w:rFonts w:hint="eastAsia"/>
              </w:rPr>
              <w:t>我的眼睛是康桥教我睁开的，</w:t>
            </w:r>
          </w:p>
          <w:p w14:paraId="4FB4BFE6">
            <w:pPr>
              <w:jc w:val="left"/>
            </w:pPr>
            <w:r>
              <w:rPr>
                <w:rFonts w:hint="eastAsia"/>
              </w:rPr>
              <w:t>我的求知欲是康桥给我拨动的，</w:t>
            </w:r>
          </w:p>
          <w:p w14:paraId="5D015FD9">
            <w:pPr>
              <w:jc w:val="left"/>
            </w:pPr>
            <w:r>
              <w:rPr>
                <w:rFonts w:hint="eastAsia"/>
              </w:rPr>
              <w:t>我的自由意识是康桥给我胚胎的。</w:t>
            </w:r>
          </w:p>
          <w:p w14:paraId="2F7226C0">
            <w:pPr>
              <w:ind w:firstLine="630" w:firstLineChars="300"/>
              <w:jc w:val="left"/>
            </w:pPr>
            <w:r>
              <w:rPr>
                <w:rFonts w:hint="eastAsia"/>
              </w:rPr>
              <w:t>——徐志摩《吸烟与文化》</w:t>
            </w:r>
          </w:p>
          <w:p w14:paraId="0EA995E0">
            <w:r>
              <w:rPr>
                <w:rFonts w:hint="eastAsia"/>
              </w:rPr>
              <w:t>③徐志摩是新月派代表诗人。新月诗派是活跃于20世纪20年代中后期的一个诗歌流派。致力于提高新诗艺，潜心于探索新诗律，本派诗人以“音乐美、建筑美、绘画美”三美作为诗艺目标。以闻一多、徐志摩的作用尤为突出。以《新月》月刊为阵地。</w:t>
            </w:r>
          </w:p>
          <w:tbl>
            <w:tblPr>
              <w:tblStyle w:val="TableGrid"/>
              <w:tblW w:w="8155" w:type="dxa"/>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0" w:type="dxa"/>
                <w:left w:w="108" w:type="dxa"/>
                <w:bottom w:w="0" w:type="dxa"/>
                <w:right w:w="108" w:type="dxa"/>
              </w:tblCellMar>
            </w:tblPr>
            <w:tblGrid>
              <w:gridCol w:w="3996"/>
              <w:gridCol w:w="4159"/>
            </w:tblGrid>
            <w:tr w14:paraId="13925B86">
              <w:tblPrEx>
                <w:tblW w:w="8155" w:type="dxa"/>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0" w:type="dxa"/>
                  <w:left w:w="108" w:type="dxa"/>
                  <w:bottom w:w="0" w:type="dxa"/>
                  <w:right w:w="108" w:type="dxa"/>
                </w:tblCellMar>
              </w:tblPrEx>
              <w:trPr>
                <w:trHeight w:val="283"/>
              </w:trPr>
              <w:tc>
                <w:tcPr>
                  <w:tcW w:w="2450" w:type="pct"/>
                </w:tcPr>
                <w:p w14:paraId="2E5DB08A">
                  <w:r>
                    <w:rPr>
                      <w:rFonts w:hint="eastAsia"/>
                    </w:rPr>
                    <w:t>环节三：精读诗歌，分析手法</w:t>
                  </w:r>
                </w:p>
              </w:tc>
              <w:tc>
                <w:tcPr>
                  <w:tcW w:w="2549" w:type="pct"/>
                </w:tcPr>
                <w:p w14:paraId="6C71FC67">
                  <w:pPr>
                    <w:rPr>
                      <w:rFonts w:ascii="楷体" w:hAnsi="楷体"/>
                    </w:rPr>
                  </w:pPr>
                  <w:r>
                    <w:t>25min</w:t>
                  </w:r>
                </w:p>
              </w:tc>
            </w:tr>
          </w:tbl>
          <w:p w14:paraId="4D5BCE10">
            <w:r>
              <w:rPr>
                <w:rFonts w:hint="eastAsia"/>
              </w:rPr>
              <w:t>刚才同学们读的很美，不仅因为同学们对诗歌的感觉到位，而且因为这首诗歌本身就很美。《再别康桥》是一首新格律诗，是新月派诗作的代表，我们刚才介绍过新格律诗有一个很大的特点就是讲究“三美”——音乐美（韵律）、建筑美（结构）、绘画美（内容）。我们看一看这首诗是如何体现这三种美的。</w:t>
            </w:r>
          </w:p>
          <w:p w14:paraId="1A982EC5">
            <w:r>
              <w:rPr>
                <w:rFonts w:hint="eastAsia"/>
              </w:rPr>
              <w:t>板书：音乐美，建筑美，绘画美</w:t>
            </w:r>
          </w:p>
          <w:p w14:paraId="3B779A1B">
            <w:r>
              <w:rPr>
                <w:rFonts w:hint="eastAsia"/>
              </w:rPr>
              <w:t>1、“音乐美”</w:t>
            </w:r>
          </w:p>
          <w:p w14:paraId="7E24026F">
            <w:r>
              <w:rPr>
                <w:rFonts w:hint="eastAsia"/>
              </w:rPr>
              <w:t>同学们觉得这首诗的韵律美在什么地方？为什么大家刚才一读就觉得它很美呢？</w:t>
            </w:r>
          </w:p>
          <w:p w14:paraId="60B3121D">
            <w:r>
              <w:rPr>
                <w:rFonts w:hint="eastAsia"/>
              </w:rPr>
              <w:t>引导提问：</w:t>
            </w:r>
          </w:p>
          <w:p w14:paraId="3537E275">
            <w:r>
              <w:rPr>
                <w:rFonts w:hint="eastAsia"/>
              </w:rPr>
              <w:t>①我们一起来看一看这首诗在节奏上有什么特点，请同学们看第一节和最后一节，这两节有什么特点？</w:t>
            </w:r>
          </w:p>
          <w:p w14:paraId="48006BFE">
            <w:r>
              <w:rPr>
                <w:rFonts w:hint="eastAsia"/>
              </w:rPr>
              <w:t>明确：语意、结构相似，节奏相同，回环往复。</w:t>
            </w:r>
          </w:p>
          <w:p w14:paraId="2E6FD248">
            <w:r>
              <w:rPr>
                <w:rFonts w:hint="eastAsia"/>
              </w:rPr>
              <w:t>“轻轻”、“悄悄”这些是什么？叠字的运用可以让这首诗读起来怎么样？</w:t>
            </w:r>
          </w:p>
          <w:p w14:paraId="12470EE8">
            <w:r>
              <w:rPr>
                <w:rFonts w:hint="eastAsia"/>
              </w:rPr>
              <w:t>②这首诗是怎么押韵的？请同学找出韵脚。</w:t>
            </w:r>
          </w:p>
          <w:p w14:paraId="23FB653C">
            <w:r>
              <w:rPr>
                <w:rFonts w:hint="eastAsia"/>
              </w:rPr>
              <w:t>明确：每一小节2、4句押韵，节节换韵。诗人追求诗歌韵律跳动的美感。</w:t>
            </w:r>
          </w:p>
          <w:p w14:paraId="2D2861ED">
            <w:r>
              <w:rPr>
                <w:rFonts w:hint="eastAsia"/>
              </w:rPr>
              <w:t>2、“建筑美”</w:t>
            </w:r>
          </w:p>
          <w:p w14:paraId="364F9B8A">
            <w:r>
              <w:rPr>
                <w:rFonts w:hint="eastAsia"/>
              </w:rPr>
              <w:t>请同学们一起来找一找，你觉得这首诗怎么体现“建筑美”的，结构上有何美感？</w:t>
            </w:r>
          </w:p>
          <w:p w14:paraId="15B4F976">
            <w:r>
              <w:rPr>
                <w:rFonts w:hint="eastAsia"/>
              </w:rPr>
              <w:t>引导提问：</w:t>
            </w:r>
          </w:p>
          <w:p w14:paraId="136069E8">
            <w:r>
              <w:rPr>
                <w:rFonts w:hint="eastAsia"/>
              </w:rPr>
              <w:t>①同学们看这首诗一共有几节？每一节有几行？</w:t>
            </w:r>
          </w:p>
          <w:p w14:paraId="7BF30B4C">
            <w:r>
              <w:rPr>
                <w:rFonts w:hint="eastAsia"/>
              </w:rPr>
              <w:t>“四行一节”</w:t>
            </w:r>
          </w:p>
          <w:p w14:paraId="22EA43A5">
            <w:r>
              <w:rPr>
                <w:rFonts w:hint="eastAsia"/>
              </w:rPr>
              <w:t>②每一行的字数一样吗？句子排列有什么特点？</w:t>
            </w:r>
          </w:p>
          <w:p w14:paraId="4C2162BC">
            <w:r>
              <w:rPr>
                <w:rFonts w:hint="eastAsia"/>
              </w:rPr>
              <w:t>明确：每一行字数基本为6-8字，总体来说字数接近，单行双行错开一格排列。参差中见整齐。</w:t>
            </w:r>
          </w:p>
          <w:p w14:paraId="225A1941">
            <w:r>
              <w:rPr>
                <w:rFonts w:hint="eastAsia"/>
              </w:rPr>
              <w:t>我们一起分析了诗的音乐美，建筑美，请大家带着这种种美感，一起把诗再读一遍，这次注意体会诗歌的内容美在什么地方。</w:t>
            </w:r>
          </w:p>
          <w:p w14:paraId="669EDA4C">
            <w:r>
              <w:rPr>
                <w:rFonts w:hint="eastAsia"/>
              </w:rPr>
              <w:t>3、“绘画美”</w:t>
            </w:r>
          </w:p>
          <w:p w14:paraId="646AD292">
            <w:r>
              <w:rPr>
                <w:rFonts w:hint="eastAsia"/>
              </w:rPr>
              <w:t>让我们跟随作者一起来到美丽的康桥，现在请前后四人为一小组，每组同学选出你们最喜欢的一个小节或几个小节，并找找这一小节中出现了什么美景深深吸引了徐志摩，这些意象又有什么作用呢？（按小节顺序请小组代表分享，没有组选择的小节教师引导分析）</w:t>
            </w:r>
          </w:p>
          <w:p w14:paraId="681D6AAC">
            <w:r>
              <w:rPr>
                <w:rFonts w:hint="eastAsia"/>
              </w:rPr>
              <w:t>【第二节】金柳</w:t>
            </w:r>
          </w:p>
          <w:p w14:paraId="265F69AE">
            <w:r>
              <w:rPr>
                <w:rFonts w:hint="eastAsia"/>
              </w:rPr>
              <w:t>1、这一节写的是柳。那么在诗人的眼里，柳是“金柳”，影是“艳影”。我们经常说“花红柳绿”，在作者笔下，河畔的柳树为何是“金”色的？用了什么修辞手法？作者为什么要这样写？</w:t>
            </w:r>
          </w:p>
          <w:p w14:paraId="257872F4">
            <w:r>
              <w:rPr>
                <w:rFonts w:hint="eastAsia"/>
              </w:rPr>
              <w:t xml:space="preserve">明确：因在夕阳中。夕阳照射下柳树变成了金色的。用暗喻把柳树比做新娘，新娘的美也就是柳树的美，新娘是少女最美丽的时候，既写出夕阳下泛着金光的柳树的美丽美好，而新郎对新娘的爱也就是作者对康桥的爱，也表达了对康桥自然之美的喜爱之情。 </w:t>
            </w:r>
          </w:p>
          <w:p w14:paraId="2A49A888">
            <w:r>
              <w:rPr>
                <w:rFonts w:hint="eastAsia"/>
              </w:rPr>
              <w:t xml:space="preserve">2、为什么要选择柳树而不是其他的树？难道是康桥边只有柳树？ </w:t>
            </w:r>
          </w:p>
          <w:p w14:paraId="0A77CB35">
            <w:r>
              <w:rPr>
                <w:rFonts w:hint="eastAsia"/>
              </w:rPr>
              <w:t>明确：不是。柳这种植物是特别的，读一读它的名字：柳——留。柳在中国的传统中的意思等于留。中国古代就有折柳赠别的习俗，在送别诗中柳是常见的意象。比如“伤心不过灞桥柳”“客舍轻轻柳色新”（王维《送元二使安西》）而且柳树下垂的枝条，风一吹就像在挥手告别。原来不仅是徐志摩不想离开，河畔的金柳也不愿他离开。</w:t>
            </w:r>
          </w:p>
          <w:p w14:paraId="5A6C5249">
            <w:r>
              <w:rPr>
                <w:rFonts w:hint="eastAsia"/>
              </w:rPr>
              <w:t>【第三节】青荇</w:t>
            </w:r>
          </w:p>
          <w:p w14:paraId="5B79CF0E">
            <w:r>
              <w:rPr>
                <w:rFonts w:hint="eastAsia"/>
              </w:rPr>
              <w:t>1、“青荇在水底招摇”用了什么手法？ 这么写有什么好处？</w:t>
            </w:r>
          </w:p>
          <w:p w14:paraId="3FC5D2E6">
            <w:r>
              <w:rPr>
                <w:rFonts w:hint="eastAsia"/>
              </w:rPr>
              <w:t>明确：拟人，写出了水草对诗人的欢迎态度。显得生动、形象。</w:t>
            </w:r>
          </w:p>
          <w:p w14:paraId="75E63E58">
            <w:r>
              <w:rPr>
                <w:rFonts w:hint="eastAsia"/>
              </w:rPr>
              <w:t xml:space="preserve">2、大家再看下一句：“在康河的柔波里，我甘心作一条水草。”为什么徐志摩却甘愿做这样的一条水草？  </w:t>
            </w:r>
          </w:p>
          <w:p w14:paraId="481C40C4">
            <w:r>
              <w:rPr>
                <w:rFonts w:hint="eastAsia"/>
              </w:rPr>
              <w:t>明确：表达诗人对康桥的热爱，康河的流水、水草在作者眼中所呈现的那份安闲、自在、正是诗人心向往之的境界。正因为康河中的水草可以自由自在，无拘无束地生活，所以诗人才甘心做康河中的一条水草。</w:t>
            </w:r>
          </w:p>
          <w:p w14:paraId="684EB5B7">
            <w:r>
              <w:rPr>
                <w:rFonts w:hint="eastAsia"/>
              </w:rPr>
              <w:t>【第四节】清泉</w:t>
            </w:r>
          </w:p>
          <w:p w14:paraId="21A35FBF">
            <w:r>
              <w:rPr>
                <w:rFonts w:hint="eastAsia"/>
              </w:rPr>
              <w:t xml:space="preserve">这一小节运用了比喻的修辞手法，把清泉比作天上虹。这一潭泉水就是拜伦潭。为什么说是彩虹似的梦？ </w:t>
            </w:r>
          </w:p>
          <w:p w14:paraId="612726A6">
            <w:r>
              <w:rPr>
                <w:rFonts w:hint="eastAsia"/>
              </w:rPr>
              <w:t>明确：美好的梦容易破碎，而彩虹虽然美丽，却也容易消逝。所以说是彩虹似的梦。康桥的生活、学习是徐志摩心底的一个梦，对康桥的眷恋就是对梦的眷恋。这样的梦当然不愿醒，这样的康桥当然不愿离开。</w:t>
            </w:r>
          </w:p>
          <w:p w14:paraId="188D4AB5">
            <w:r>
              <w:rPr>
                <w:rFonts w:hint="eastAsia"/>
              </w:rPr>
              <w:t>【总结：二</w:t>
            </w:r>
            <w:r>
              <w:t>~</w:t>
            </w:r>
            <w:r>
              <w:rPr>
                <w:rFonts w:hint="eastAsia"/>
              </w:rPr>
              <w:t>四小节】板书：入梦</w:t>
            </w:r>
          </w:p>
          <w:p w14:paraId="7812EB3F">
            <w:r>
              <w:rPr>
                <w:rFonts w:hint="eastAsia"/>
              </w:rPr>
              <w:t>上述三节诗，每一节都是一个可以画得出来的画面，比如河畔的金柳在康河里的倒影，康河水底的招摇的水草，榆阴下的长满浮藻的青潭。这些画面具有意境鲜明、色彩绚丽的特点，很美。诗人通过动作性很强的词语，如 “荡漾”“招摇”“揉碎”“沉淀”，使每一幅画面变成了动态的画面，给人以立体感，更增添了画面的美感。</w:t>
            </w:r>
          </w:p>
          <w:p w14:paraId="0C707254">
            <w:r>
              <w:rPr>
                <w:rFonts w:hint="eastAsia"/>
              </w:rPr>
              <w:t>【第五、六节】</w:t>
            </w:r>
          </w:p>
          <w:p w14:paraId="79598325">
            <w:r>
              <w:rPr>
                <w:rFonts w:hint="eastAsia"/>
              </w:rPr>
              <w:t xml:space="preserve">1、请大家看到第五节和第六节，这两节的感情相同吗？ </w:t>
            </w:r>
          </w:p>
          <w:p w14:paraId="10F6006C">
            <w:r>
              <w:rPr>
                <w:rFonts w:hint="eastAsia"/>
              </w:rPr>
              <w:t xml:space="preserve">明确：不同。第五节兴奋欢快，第六节失意低落。（两个词：放歌/沉默） </w:t>
            </w:r>
          </w:p>
          <w:p w14:paraId="091F1CE4">
            <w:r>
              <w:rPr>
                <w:rFonts w:hint="eastAsia"/>
              </w:rPr>
              <w:t xml:space="preserve">2、第五节中作者情不自禁“在星辉斑斓里放歌。”在那一瞬间，他忘了自己要离开，他很愉悦。诗人对康桥迷恋的感情到了高潮。但是诗人放歌了吗？（没有。）为什么不能放歌呢？  </w:t>
            </w:r>
          </w:p>
          <w:p w14:paraId="58FFC99C">
            <w:pPr>
              <w:rPr>
                <w:rFonts w:hint="eastAsia"/>
              </w:rPr>
            </w:pPr>
            <w:r>
              <w:rPr>
                <w:rFonts w:hint="eastAsia"/>
              </w:rPr>
              <w:t>明确：但是作者突然意识到今晚要和康桥离别。而且是悄悄的离去，他的那种无奈，依恋，使他不能放歌。他生怕打扰惊醒了他心爱的康桥，只能悄悄欣赏，默默作别。因此这一节要读得稍微缓慢深沉。</w:t>
            </w:r>
          </w:p>
          <w:p w14:paraId="37467CFD">
            <w:pPr>
              <w:rPr>
                <w:rFonts w:hint="eastAsia"/>
                <w:lang w:eastAsia="zh-CN"/>
              </w:rPr>
            </w:pPr>
            <w:r>
              <w:rPr>
                <w:rFonts w:hint="eastAsia"/>
              </w:rPr>
              <w:t>【第一、七节】板书：</w:t>
            </w:r>
            <w:r>
              <w:rPr>
                <w:rFonts w:hint="eastAsia"/>
                <w:lang w:val="en-US" w:eastAsia="zh-CN"/>
              </w:rPr>
              <w:t>出梦</w:t>
            </w:r>
          </w:p>
          <w:p w14:paraId="6650D3F2">
            <w:pPr>
              <w:rPr>
                <w:rFonts w:hint="eastAsia"/>
              </w:rPr>
            </w:pPr>
            <w:r>
              <w:rPr>
                <w:rFonts w:hint="eastAsia"/>
                <w:lang w:val="en-US" w:eastAsia="zh-CN"/>
              </w:rPr>
              <w:t>1、我们再回过头来看第一节和最后一节。这两节都是直接</w:t>
            </w:r>
            <w:bookmarkStart w:id="0" w:name="_GoBack"/>
            <w:bookmarkEnd w:id="0"/>
            <w:r>
              <w:rPr>
                <w:rFonts w:hint="eastAsia"/>
                <w:lang w:val="en-US" w:eastAsia="zh-CN"/>
              </w:rPr>
              <w:t>抒发诗人感情的。先看第一节。作者为什么要连用三个“轻轻地”？</w:t>
            </w:r>
          </w:p>
          <w:p w14:paraId="5AA38E7B">
            <w:pPr>
              <w:spacing w:line="360" w:lineRule="auto"/>
            </w:pPr>
            <w:r>
              <w:rPr>
                <w:rFonts w:hint="eastAsia"/>
              </w:rPr>
              <w:t xml:space="preserve">明确：—唱三叹。连用三个，突出地表现了自己对康河的爱和依依惜别的情感。不忍打破这种宁静之美的惜爱之情得以展现。 </w:t>
            </w:r>
          </w:p>
          <w:p w14:paraId="17E3260A">
            <w:r>
              <w:rPr>
                <w:rFonts w:hint="eastAsia"/>
              </w:rPr>
              <w:t>2、第一节里面，诗人写到“作别西天的云彩”，明明是“再别康桥”为何只说“作别西天的云彩”？</w:t>
            </w:r>
          </w:p>
          <w:p w14:paraId="73B548E1">
            <w:r>
              <w:rPr>
                <w:rFonts w:hint="eastAsia"/>
              </w:rPr>
              <w:t>明确：借代指康桥美好的一切。用康桥太直接，这样更有诗意。营造出一种清新飘逸之感。</w:t>
            </w:r>
          </w:p>
          <w:p w14:paraId="2AAFB08F">
            <w:r>
              <w:rPr>
                <w:rFonts w:hint="eastAsia"/>
              </w:rPr>
              <w:t xml:space="preserve">3、最后一节却说“不带走一片云彩”，云彩明明是不能带走的为什么徐志摩还要说不带走呢？在生活中有很多人，因为喜欢某地，或刻上“XXX，到此一游。”或摘一把花，采几束草带回去留做纪念。可是诗人爱康桥，却“不带走一片云彩”，表现了什么？ </w:t>
            </w:r>
          </w:p>
          <w:p w14:paraId="72C809EB">
            <w:r>
              <w:rPr>
                <w:rFonts w:hint="eastAsia"/>
              </w:rPr>
              <w:t>明确：表现作者对康桥爱得深爱得真爱得纯。突出作者的洒脱和飘逸。从作别到不带走，一步一步产生一种离别的美。不像其他的离别诗那样依依不舍，那样的沉重。</w:t>
            </w:r>
          </w:p>
          <w:p w14:paraId="5C716791"/>
        </w:tc>
      </w:tr>
      <w:tr w14:paraId="3CBED637">
        <w:tblPrEx>
          <w:tblW w:w="0" w:type="auto"/>
          <w:tblInd w:w="0" w:type="dxa"/>
          <w:tblLayout w:type="fixed"/>
          <w:tblCellMar>
            <w:top w:w="0" w:type="dxa"/>
            <w:left w:w="108" w:type="dxa"/>
            <w:bottom w:w="0" w:type="dxa"/>
            <w:right w:w="108" w:type="dxa"/>
          </w:tblCellMar>
        </w:tblPrEx>
        <w:trPr>
          <w:trHeight w:val="3887"/>
        </w:trPr>
        <w:tc>
          <w:tcPr>
            <w:tcW w:w="824" w:type="dxa"/>
            <w:vMerge/>
          </w:tcPr>
          <w:p w14:paraId="780C2312"/>
        </w:tc>
        <w:tc>
          <w:tcPr>
            <w:tcW w:w="7364" w:type="dxa"/>
            <w:gridSpan w:val="4"/>
          </w:tcPr>
          <w:tbl>
            <w:tblPr>
              <w:tblStyle w:val="TableGrid"/>
              <w:tblW w:w="8155" w:type="dxa"/>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0" w:type="dxa"/>
                <w:left w:w="108" w:type="dxa"/>
                <w:bottom w:w="0" w:type="dxa"/>
                <w:right w:w="108" w:type="dxa"/>
              </w:tblCellMar>
            </w:tblPr>
            <w:tblGrid>
              <w:gridCol w:w="3996"/>
              <w:gridCol w:w="4159"/>
            </w:tblGrid>
            <w:tr w14:paraId="7017AF79">
              <w:tblPrEx>
                <w:tblW w:w="8155" w:type="dxa"/>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0" w:type="dxa"/>
                  <w:left w:w="108" w:type="dxa"/>
                  <w:bottom w:w="0" w:type="dxa"/>
                  <w:right w:w="108" w:type="dxa"/>
                </w:tblCellMar>
              </w:tblPrEx>
              <w:trPr>
                <w:trHeight w:val="283"/>
              </w:trPr>
              <w:tc>
                <w:tcPr>
                  <w:tcW w:w="2450" w:type="pct"/>
                </w:tcPr>
                <w:p w14:paraId="7A07245E">
                  <w:r>
                    <w:rPr>
                      <w:rFonts w:hint="eastAsia"/>
                    </w:rPr>
                    <w:t>环节三：拓展延伸，小结作业</w:t>
                  </w:r>
                </w:p>
              </w:tc>
              <w:tc>
                <w:tcPr>
                  <w:tcW w:w="2549" w:type="pct"/>
                </w:tcPr>
                <w:p w14:paraId="485D87CE">
                  <w:pPr>
                    <w:rPr>
                      <w:rFonts w:ascii="楷体" w:hAnsi="楷体"/>
                    </w:rPr>
                  </w:pPr>
                  <w:r>
                    <w:t>5min</w:t>
                  </w:r>
                </w:p>
              </w:tc>
            </w:tr>
          </w:tbl>
          <w:p w14:paraId="15E95657">
            <w:pPr>
              <w:jc w:val="left"/>
              <w:rPr>
                <w:rFonts w:hint="eastAsia"/>
                <w:b/>
                <w:bCs/>
                <w:lang w:val="en-US" w:eastAsia="zh-CN"/>
              </w:rPr>
            </w:pPr>
            <w:r>
              <w:rPr>
                <w:rFonts w:hint="eastAsia"/>
                <w:b/>
                <w:bCs/>
                <w:lang w:val="en-US" w:eastAsia="zh-CN"/>
              </w:rPr>
              <w:t>一、诗歌的情感变化：</w:t>
            </w:r>
          </w:p>
          <w:p w14:paraId="3A1E6BB2">
            <w:pPr>
              <w:numPr>
                <w:ilvl w:val="0"/>
                <w:numId w:val="1"/>
              </w:numPr>
              <w:jc w:val="left"/>
              <w:rPr>
                <w:rFonts w:hint="eastAsia"/>
                <w:lang w:val="en-US" w:eastAsia="zh-CN"/>
              </w:rPr>
            </w:pPr>
            <w:r>
              <w:rPr>
                <w:rFonts w:hint="eastAsia"/>
                <w:lang w:val="en-US" w:eastAsia="zh-CN"/>
              </w:rPr>
              <w:t>挥手作别云彩图  依依不舍</w:t>
            </w:r>
          </w:p>
          <w:p w14:paraId="3E816E39">
            <w:pPr>
              <w:numPr>
                <w:ilvl w:val="0"/>
                <w:numId w:val="1"/>
              </w:numPr>
              <w:jc w:val="left"/>
              <w:rPr>
                <w:rFonts w:hint="default"/>
                <w:lang w:val="en-US" w:eastAsia="zh-CN"/>
              </w:rPr>
            </w:pPr>
            <w:r>
              <w:rPr>
                <w:rFonts w:hint="eastAsia"/>
                <w:lang w:val="en-US" w:eastAsia="zh-CN"/>
              </w:rPr>
              <w:t>河畔金柳艳影图  欢喜眷恋</w:t>
            </w:r>
          </w:p>
          <w:p w14:paraId="3DCB6BCF">
            <w:pPr>
              <w:numPr>
                <w:ilvl w:val="0"/>
                <w:numId w:val="1"/>
              </w:numPr>
              <w:jc w:val="left"/>
              <w:rPr>
                <w:rFonts w:hint="default"/>
                <w:lang w:val="en-US" w:eastAsia="zh-CN"/>
              </w:rPr>
            </w:pPr>
            <w:r>
              <w:rPr>
                <w:rFonts w:hint="eastAsia"/>
                <w:lang w:val="en-US" w:eastAsia="zh-CN"/>
              </w:rPr>
              <w:t>青荇水底招摇图  对康桥的永久依恋</w:t>
            </w:r>
          </w:p>
          <w:p w14:paraId="13BA2113">
            <w:pPr>
              <w:numPr>
                <w:ilvl w:val="0"/>
                <w:numId w:val="1"/>
              </w:numPr>
              <w:jc w:val="left"/>
              <w:rPr>
                <w:rFonts w:hint="default"/>
                <w:lang w:val="en-US" w:eastAsia="zh-CN"/>
              </w:rPr>
            </w:pPr>
            <w:r>
              <w:rPr>
                <w:rFonts w:hint="default"/>
                <w:lang w:val="en-US" w:eastAsia="zh-CN"/>
              </w:rPr>
              <w:t>榆阴浮藻清潭图</w:t>
            </w:r>
            <w:r>
              <w:rPr>
                <w:rFonts w:hint="eastAsia"/>
                <w:lang w:val="en-US" w:eastAsia="zh-CN"/>
              </w:rPr>
              <w:t xml:space="preserve">  更加欢喜眷恋</w:t>
            </w:r>
          </w:p>
          <w:p w14:paraId="3074DF16">
            <w:pPr>
              <w:numPr>
                <w:ilvl w:val="0"/>
                <w:numId w:val="1"/>
              </w:numPr>
              <w:jc w:val="left"/>
              <w:rPr>
                <w:rFonts w:hint="default"/>
                <w:lang w:val="en-US" w:eastAsia="zh-CN"/>
              </w:rPr>
            </w:pPr>
            <w:r>
              <w:rPr>
                <w:rFonts w:hint="default"/>
                <w:lang w:val="en-US" w:eastAsia="zh-CN"/>
              </w:rPr>
              <w:t>撑蒿漫溯寻梦图</w:t>
            </w:r>
            <w:r>
              <w:rPr>
                <w:rFonts w:hint="eastAsia"/>
                <w:lang w:val="en-US" w:eastAsia="zh-CN"/>
              </w:rPr>
              <w:t xml:space="preserve">  情感达到高潮</w:t>
            </w:r>
          </w:p>
          <w:p w14:paraId="131FBCA7">
            <w:pPr>
              <w:numPr>
                <w:ilvl w:val="0"/>
                <w:numId w:val="1"/>
              </w:numPr>
              <w:jc w:val="left"/>
              <w:rPr>
                <w:rFonts w:hint="default"/>
                <w:lang w:val="en-US" w:eastAsia="zh-CN"/>
              </w:rPr>
            </w:pPr>
            <w:r>
              <w:rPr>
                <w:rFonts w:hint="eastAsia"/>
                <w:lang w:val="en-US" w:eastAsia="zh-CN"/>
              </w:rPr>
              <w:t>黄昏夏虫沉默图  情绪低落，静思默想</w:t>
            </w:r>
          </w:p>
          <w:p w14:paraId="65B8B16A">
            <w:pPr>
              <w:numPr>
                <w:ilvl w:val="0"/>
                <w:numId w:val="1"/>
              </w:numPr>
              <w:jc w:val="left"/>
              <w:rPr>
                <w:rFonts w:hint="default"/>
                <w:lang w:val="en-US" w:eastAsia="zh-CN"/>
              </w:rPr>
            </w:pPr>
            <w:r>
              <w:rPr>
                <w:rFonts w:hint="eastAsia"/>
                <w:lang w:val="en-US" w:eastAsia="zh-CN"/>
              </w:rPr>
              <w:t>招手惜别云彩图  恋恋不舍</w:t>
            </w:r>
          </w:p>
          <w:p w14:paraId="635AA7B3">
            <w:pPr>
              <w:jc w:val="left"/>
              <w:rPr>
                <w:b/>
                <w:bCs/>
              </w:rPr>
            </w:pPr>
            <w:r>
              <w:rPr>
                <w:rFonts w:hint="eastAsia"/>
                <w:b/>
                <w:bCs/>
                <w:lang w:val="en-US" w:eastAsia="zh-CN"/>
              </w:rPr>
              <w:t>二、</w:t>
            </w:r>
            <w:r>
              <w:rPr>
                <w:rFonts w:hint="eastAsia"/>
                <w:b/>
                <w:bCs/>
              </w:rPr>
              <w:t>试和徐志摩另一首离别诗作比较赏析：</w:t>
            </w:r>
          </w:p>
          <w:p w14:paraId="0F0BEEA1">
            <w:pPr>
              <w:ind w:firstLine="630" w:firstLineChars="300"/>
              <w:jc w:val="left"/>
            </w:pPr>
            <w:r>
              <w:rPr>
                <w:rFonts w:hint="eastAsia"/>
              </w:rPr>
              <w:t>沙扬娜拉</w:t>
            </w:r>
          </w:p>
          <w:p w14:paraId="7EC2EBF0">
            <w:pPr>
              <w:ind w:firstLine="1050" w:firstLineChars="500"/>
              <w:jc w:val="left"/>
            </w:pPr>
            <w:r>
              <w:rPr>
                <w:rFonts w:hint="eastAsia"/>
              </w:rPr>
              <w:t>------赠日本女郎</w:t>
            </w:r>
          </w:p>
          <w:p w14:paraId="03FDECE0">
            <w:pPr>
              <w:jc w:val="left"/>
            </w:pPr>
            <w:r>
              <w:rPr>
                <w:rFonts w:hint="eastAsia"/>
              </w:rPr>
              <w:t>最是那一低头的温柔</w:t>
            </w:r>
          </w:p>
          <w:p w14:paraId="15E65AC7">
            <w:pPr>
              <w:jc w:val="left"/>
            </w:pPr>
            <w:r>
              <w:rPr>
                <w:rFonts w:hint="eastAsia"/>
              </w:rPr>
              <w:t>像一朵水莲花不胜凉风的娇羞，</w:t>
            </w:r>
          </w:p>
          <w:p w14:paraId="5619B7BD">
            <w:pPr>
              <w:jc w:val="left"/>
            </w:pPr>
            <w:r>
              <w:rPr>
                <w:rFonts w:hint="eastAsia"/>
              </w:rPr>
              <w:t>道一声珍重，道一声珍重，</w:t>
            </w:r>
          </w:p>
          <w:p w14:paraId="1AA5D1E7">
            <w:pPr>
              <w:jc w:val="left"/>
            </w:pPr>
            <w:r>
              <w:rPr>
                <w:rFonts w:hint="eastAsia"/>
              </w:rPr>
              <w:t>那一声珍重里有蜜甜的忧愁</w:t>
            </w:r>
          </w:p>
          <w:p w14:paraId="6D03FE29">
            <w:pPr>
              <w:jc w:val="left"/>
            </w:pPr>
            <w:r>
              <w:rPr>
                <w:rFonts w:hint="eastAsia"/>
              </w:rPr>
              <w:t>------沙扬娜拉</w:t>
            </w:r>
          </w:p>
          <w:p w14:paraId="0A3B813C">
            <w:pPr>
              <w:jc w:val="left"/>
            </w:pPr>
            <w:r>
              <w:rPr>
                <w:rFonts w:hint="eastAsia"/>
              </w:rPr>
              <w:t>这是诗人徐志摩随泰戈尔访日后的感怀之作。诗人捕捉到的是女郎道别时一刹那的姿态，“温柔”、“娇羞”、“蜜甜的忧愁”准确地传达出少女楚楚动人的韵致  以及依依惜别的情怀，“不胜凉风”的水莲花的比喻也恰如其分，最终使诗人对日本之行的观感定格在“水莲花”般的少女“一低头”的温柔之中。</w:t>
            </w:r>
          </w:p>
          <w:p w14:paraId="58EBBCF8">
            <w:pPr>
              <w:jc w:val="left"/>
            </w:pPr>
            <w:r>
              <w:rPr>
                <w:rFonts w:hint="eastAsia"/>
              </w:rPr>
              <w:t>1.作者以凉风吹拂下的颤动的水莲花作比，是为了突出其 (柔媚)的风致，进而刻画女郎(欲言又止、含羞带笑、娴静与纯美)的神态。</w:t>
            </w:r>
          </w:p>
          <w:p w14:paraId="4A8062AE">
            <w:pPr>
              <w:jc w:val="left"/>
            </w:pPr>
            <w:r>
              <w:rPr>
                <w:rFonts w:hint="eastAsia"/>
              </w:rPr>
              <w:t>2.“那一声珍重里的蜜甜的忧愁”一句中，“蜜甜”和“忧愁”矛盾么？请谈谈你的理解。</w:t>
            </w:r>
          </w:p>
          <w:p w14:paraId="2C45B2BE">
            <w:r>
              <w:rPr>
                <w:rFonts w:hint="eastAsia"/>
              </w:rPr>
              <w:t>不矛盾。女郎处在将要分别、不忍分别、又只好分别的复杂的情绪交织之中，她不能一味沉默，只好把万千浓情蜜意化做一声声的“珍重”，来表达自己对朋友的爱慕敬仰之意；诗人与这位温柔多情的日本女郎在交往中已经结下了真挚的友谊，即将分别，顿生忧愁。</w:t>
            </w:r>
          </w:p>
          <w:p w14:paraId="3512F511">
            <w:pPr>
              <w:numPr>
                <w:ilvl w:val="0"/>
                <w:numId w:val="2"/>
              </w:numPr>
              <w:rPr>
                <w:rFonts w:hint="eastAsia"/>
                <w:b/>
                <w:bCs/>
                <w:lang w:val="en-US" w:eastAsia="zh-CN"/>
              </w:rPr>
            </w:pPr>
            <w:r>
              <w:rPr>
                <w:rFonts w:hint="eastAsia"/>
                <w:b/>
                <w:bCs/>
                <w:lang w:val="en-US" w:eastAsia="zh-CN"/>
              </w:rPr>
              <w:t>全诗总结</w:t>
            </w:r>
          </w:p>
          <w:p w14:paraId="0B567FBB">
            <w:pPr>
              <w:numPr>
                <w:ilvl w:val="0"/>
                <w:numId w:val="0"/>
              </w:numPr>
              <w:rPr>
                <w:rFonts w:hint="eastAsia"/>
              </w:rPr>
            </w:pPr>
            <w:r>
              <w:rPr>
                <w:rFonts w:hint="eastAsia"/>
              </w:rPr>
              <w:t>《再别康桥》是20世纪中国最出色的一首别离诗，犹如一首轻柔优美的小夜曲， 诗人的自由天性、潇洒飘逸的风格与康桥宁静优美的自然风景融会成了别具一格诗境之美。</w:t>
            </w:r>
          </w:p>
          <w:p w14:paraId="07F5129F">
            <w:pPr>
              <w:keepNext w:val="0"/>
              <w:keepLines w:val="0"/>
              <w:pageBreakBefore w:val="0"/>
              <w:widowControl w:val="0"/>
              <w:kinsoku/>
              <w:wordWrap/>
              <w:overflowPunct/>
              <w:topLinePunct w:val="0"/>
              <w:autoSpaceDE/>
              <w:autoSpaceDN/>
              <w:bidi w:val="0"/>
              <w:adjustRightInd/>
              <w:snapToGrid/>
              <w:ind w:firstLine="420" w:firstLineChars="200"/>
              <w:textAlignment w:val="auto"/>
            </w:pPr>
            <w:r>
              <w:rPr>
                <w:rFonts w:hint="eastAsia"/>
              </w:rPr>
              <w:t>作者来到康桥寻梦，这里的一草一木都让其为之着迷并深深地留恋，在作者眼中，康桥更像是心中一个美丽的梦，她轻</w:t>
            </w:r>
            <w:r>
              <w:rPr>
                <w:rFonts w:hint="eastAsia"/>
                <w:lang w:val="en-US" w:eastAsia="zh-CN"/>
              </w:rPr>
              <w:t>绕</w:t>
            </w:r>
            <w:r>
              <w:rPr>
                <w:rFonts w:hint="eastAsia"/>
              </w:rPr>
              <w:t>在作者的心头久久不能散去，让作者梦醒的离别带着浓浓的不舍和离愁。</w:t>
            </w:r>
            <w:r>
              <w:rPr>
                <w:rFonts w:hint="eastAsia"/>
                <w:lang w:val="en-US" w:eastAsia="zh-CN"/>
              </w:rPr>
              <w:t>在当今社会，我们更需要这一类清新、真纯的文字来洗涤我们的灵魂。</w:t>
            </w:r>
          </w:p>
        </w:tc>
      </w:tr>
      <w:tr w14:paraId="5E7428E5">
        <w:tblPrEx>
          <w:tblW w:w="0" w:type="auto"/>
          <w:tblInd w:w="0" w:type="dxa"/>
          <w:tblLayout w:type="fixed"/>
          <w:tblCellMar>
            <w:top w:w="0" w:type="dxa"/>
            <w:left w:w="108" w:type="dxa"/>
            <w:bottom w:w="0" w:type="dxa"/>
            <w:right w:w="108" w:type="dxa"/>
          </w:tblCellMar>
        </w:tblPrEx>
        <w:trPr>
          <w:trHeight w:val="1594"/>
        </w:trPr>
        <w:tc>
          <w:tcPr>
            <w:tcW w:w="824" w:type="dxa"/>
          </w:tcPr>
          <w:p w14:paraId="53DEFB89"/>
          <w:p w14:paraId="539BD2C0">
            <w:r>
              <w:rPr>
                <w:rFonts w:hint="eastAsia"/>
              </w:rPr>
              <w:t>板书</w:t>
            </w:r>
          </w:p>
          <w:p w14:paraId="5539EFD4">
            <w:pPr>
              <w:rPr>
                <w:sz w:val="24"/>
              </w:rPr>
            </w:pPr>
            <w:r>
              <w:rPr>
                <w:rFonts w:hint="eastAsia"/>
              </w:rPr>
              <w:t>设计</w:t>
            </w:r>
          </w:p>
        </w:tc>
        <w:tc>
          <w:tcPr>
            <w:tcW w:w="7364" w:type="dxa"/>
            <w:gridSpan w:val="4"/>
          </w:tcPr>
          <w:p w14:paraId="09866C0D">
            <w:pPr>
              <w:jc w:val="center"/>
            </w:pPr>
            <w:r>
              <w:rPr>
                <w:rFonts w:hint="eastAsia"/>
              </w:rPr>
              <w:t>再别康桥</w:t>
            </w:r>
          </w:p>
          <w:p w14:paraId="1B0F43B4">
            <w:pPr>
              <w:jc w:val="center"/>
            </w:pPr>
            <w:r>
              <w:rPr>
                <w:rFonts w:hint="eastAsia"/>
              </w:rPr>
              <w:t xml:space="preserve"> </w:t>
            </w:r>
            <w:r>
              <w:t xml:space="preserve">      </w:t>
            </w:r>
            <w:r>
              <w:rPr>
                <w:rFonts w:hint="eastAsia"/>
              </w:rPr>
              <w:t>徐志摩</w:t>
            </w:r>
          </w:p>
          <w:p w14:paraId="3DD7B7CE">
            <w:pPr>
              <w:ind w:firstLine="2730" w:firstLineChars="1300"/>
              <w:rPr>
                <w:rFonts w:eastAsia="宋体" w:hint="default"/>
                <w:lang w:val="en-US" w:eastAsia="zh-CN"/>
              </w:rPr>
            </w:pPr>
            <w:r>
              <w:rPr>
                <w:sz w:val="21"/>
              </w:rPr>
              <mc:AlternateContent>
                <mc:Choice Requires="wps">
                  <w:drawing>
                    <wp:anchor distT="0" distB="0" distL="114300" distR="114300" simplePos="0" relativeHeight="251663360" behindDoc="0" locked="0" layoutInCell="1" allowOverlap="1">
                      <wp:simplePos x="0" y="0"/>
                      <wp:positionH relativeFrom="column">
                        <wp:posOffset>3430270</wp:posOffset>
                      </wp:positionH>
                      <wp:positionV relativeFrom="paragraph">
                        <wp:posOffset>256540</wp:posOffset>
                      </wp:positionV>
                      <wp:extent cx="600075" cy="398780"/>
                      <wp:effectExtent l="3810" t="5080" r="5715" b="15240"/>
                      <wp:wrapNone/>
                      <wp:docPr id="3" name="直接连接符 3"/>
                      <wp:cNvGraphicFramePr/>
                      <a:graphic xmlns:a="http://schemas.openxmlformats.org/drawingml/2006/main">
                        <a:graphicData uri="http://schemas.microsoft.com/office/word/2010/wordprocessingShape">
                          <wps:wsp xmlns:wps="http://schemas.microsoft.com/office/word/2010/wordprocessingShape">
                            <wps:cNvCnPr/>
                            <wps:spPr>
                              <a:xfrm>
                                <a:off x="5096510" y="1771650"/>
                                <a:ext cx="600075" cy="398780"/>
                              </a:xfrm>
                              <a:prstGeom prst="line">
                                <a:avLst/>
                              </a:prstGeom>
                              <a:ln>
                                <a:solidFill>
                                  <a:schemeClr val="tx1"/>
                                </a:solidFill>
                              </a:ln>
                            </wps:spPr>
                            <wps:style>
                              <a:lnRef idx="2">
                                <a:schemeClr val="accent1"/>
                              </a:lnRef>
                              <a:fillRef idx="0">
                                <a:srgbClr val="FFFFFF"/>
                              </a:fillRef>
                              <a:effectRef idx="0">
                                <a:srgbClr val="FFFFFF"/>
                              </a:effectRef>
                              <a:fontRef idx="minor">
                                <a:schemeClr val="tx1"/>
                              </a:fontRef>
                            </wps:style>
                            <wps:bodyPr/>
                          </wps:wsp>
                        </a:graphicData>
                      </a:graphic>
                    </wp:anchor>
                  </w:drawing>
                </mc:Choice>
                <mc:Fallback>
                  <w:pict>
                    <v:line id="_x0000_s1026" o:spid="_x0000_s1025" style="mso-height-relative:page;mso-width-relative:page;position:absolute;z-index:251664384" from="270.1pt,20.2pt" to="317.35pt,51.6pt" coordsize="21600,21600" stroked="t" strokecolor="black">
                      <v:stroke joinstyle="miter"/>
                      <o:lock v:ext="edit" aspectratio="f"/>
                    </v:line>
                  </w:pict>
                </mc:Fallback>
              </mc:AlternateContent>
            </w:r>
            <w:r>
              <w:rPr>
                <w:sz w:val="21"/>
              </w:rPr>
              <mc:AlternateContent>
                <mc:Choice Requires="wps">
                  <w:drawing>
                    <wp:anchor distT="0" distB="0" distL="114300" distR="114300" simplePos="0" relativeHeight="251661312" behindDoc="0" locked="0" layoutInCell="1" allowOverlap="1">
                      <wp:simplePos x="0" y="0"/>
                      <wp:positionH relativeFrom="column">
                        <wp:posOffset>2933700</wp:posOffset>
                      </wp:positionH>
                      <wp:positionV relativeFrom="paragraph">
                        <wp:posOffset>262255</wp:posOffset>
                      </wp:positionV>
                      <wp:extent cx="490855" cy="358140"/>
                      <wp:effectExtent l="3810" t="5080" r="13335" b="5080"/>
                      <wp:wrapNone/>
                      <wp:docPr id="1" name="直接连接符 1"/>
                      <wp:cNvGraphicFramePr/>
                      <a:graphic xmlns:a="http://schemas.openxmlformats.org/drawingml/2006/main">
                        <a:graphicData uri="http://schemas.microsoft.com/office/word/2010/wordprocessingShape">
                          <wps:wsp xmlns:wps="http://schemas.microsoft.com/office/word/2010/wordprocessingShape">
                            <wps:cNvCnPr/>
                            <wps:spPr>
                              <a:xfrm flipV="1">
                                <a:off x="4599940" y="1777365"/>
                                <a:ext cx="490855" cy="358140"/>
                              </a:xfrm>
                              <a:prstGeom prst="line">
                                <a:avLst/>
                              </a:prstGeom>
                              <a:ln>
                                <a:solidFill>
                                  <a:schemeClr val="tx1"/>
                                </a:solidFill>
                              </a:ln>
                            </wps:spPr>
                            <wps:style>
                              <a:lnRef idx="2">
                                <a:schemeClr val="accent1"/>
                              </a:lnRef>
                              <a:fillRef idx="0">
                                <a:srgbClr val="FFFFFF"/>
                              </a:fillRef>
                              <a:effectRef idx="0">
                                <a:srgbClr val="FFFFFF"/>
                              </a:effectRef>
                              <a:fontRef idx="minor">
                                <a:schemeClr val="tx1"/>
                              </a:fontRef>
                            </wps:style>
                            <wps:bodyPr/>
                          </wps:wsp>
                        </a:graphicData>
                      </a:graphic>
                    </wp:anchor>
                  </w:drawing>
                </mc:Choice>
                <mc:Fallback>
                  <w:pict>
                    <v:line id="_x0000_s1026" o:spid="_x0000_s1026" style="flip:y;mso-height-relative:page;mso-width-relative:page;position:absolute;z-index:251662336" from="231pt,20.65pt" to="269.65pt,48.85pt" coordsize="21600,21600" stroked="t" strokecolor="black">
                      <v:stroke joinstyle="miter"/>
                      <o:lock v:ext="edit" aspectratio="f"/>
                    </v:line>
                  </w:pict>
                </mc:Fallback>
              </mc:AlternateContent>
            </w:r>
            <w:r>
              <w:rPr>
                <w:rFonts w:hint="eastAsia"/>
              </w:rPr>
              <mc:AlternateContent>
                <mc:Choice Requires="wps">
                  <w:drawing>
                    <wp:anchor distT="0" distB="0" distL="114300" distR="114300" simplePos="0" relativeHeight="251659264" behindDoc="0" locked="0" layoutInCell="1" allowOverlap="1">
                      <wp:simplePos x="0" y="0"/>
                      <wp:positionH relativeFrom="column">
                        <wp:posOffset>1599565</wp:posOffset>
                      </wp:positionH>
                      <wp:positionV relativeFrom="paragraph">
                        <wp:posOffset>115570</wp:posOffset>
                      </wp:positionV>
                      <wp:extent cx="45720" cy="645160"/>
                      <wp:effectExtent l="19050" t="0" r="12065" b="21590"/>
                      <wp:wrapNone/>
                      <wp:docPr id="4" name="左大括号 4"/>
                      <wp:cNvGraphicFramePr/>
                      <a:graphic xmlns:a="http://schemas.openxmlformats.org/drawingml/2006/main">
                        <a:graphicData uri="http://schemas.microsoft.com/office/word/2010/wordprocessingShape">
                          <wps:wsp xmlns:wps="http://schemas.microsoft.com/office/word/2010/wordprocessingShape">
                            <wps:cNvSpPr/>
                            <wps:spPr>
                              <a:xfrm>
                                <a:off x="0" y="0"/>
                                <a:ext cx="45719" cy="645458"/>
                              </a:xfrm>
                              <a:prstGeom prst="leftBrace">
                                <a:avLst/>
                              </a:prstGeom>
                            </wps:spPr>
                            <wps:style>
                              <a:lnRef idx="1">
                                <a:schemeClr val="dk1"/>
                              </a:lnRef>
                              <a:fillRef idx="0">
                                <a:schemeClr val="dk1"/>
                              </a:fillRef>
                              <a:effectRef idx="0">
                                <a:schemeClr val="dk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wps:wsp>
                        </a:graphicData>
                      </a:graphic>
                    </wp:anchor>
                  </w:drawing>
                </mc:Choice>
                <mc:Fallback>
                  <w:pict>
                    <v:shapetype id="_x0000_t87" coordsize="21600,21600" o:spt="87" adj="1800,10800" path="m21600,qx10800@0l10800@2qy0@11,10800@3l10800@1qy21600,21600e" filled="f">
                      <v:formulas>
                        <v:f eqn="val #0"/>
                        <v:f eqn="sum 21600 0 #0"/>
                        <v:f eqn="sum #1 0 #0"/>
                        <v:f eqn="sum #1 #0 0"/>
                        <v:f eqn="prod #0 9598 32768"/>
                        <v:f eqn="sum 21600 0 @4"/>
                        <v:f eqn="sum 21600 0 #1"/>
                        <v:f eqn="min #1 @6"/>
                        <v:f eqn="prod @7 1 2"/>
                        <v:f eqn="prod #0 2 1"/>
                        <v:f eqn="sum 21600 0 @9"/>
                        <v:f eqn="val #1"/>
                      </v:formulas>
                      <v:path arrowok="t" o:connecttype="custom" o:connectlocs="21600,0;0,10800;21600,21600" textboxrect="13963,@4,21600,@5"/>
                      <v:handles>
                        <v:h position="center,#0" yrange="0,@8"/>
                        <v:h position="topLeft,#1" yrange="@9,@10"/>
                      </v:handles>
                    </v:shapetype>
                    <v:shape id="_x0000_s1026" o:spid="_x0000_s1027" type="#_x0000_t87" style="width:3.6pt;height:50.8pt;margin-top:9.1pt;margin-left:125.95pt;mso-height-relative:page;mso-width-relative:page;position:absolute;v-text-anchor:middle;z-index:251660288" coordsize="21600,21600" adj="127,10800" filled="f" stroked="t" strokecolor="black">
                      <v:stroke joinstyle="miter"/>
                      <o:lock v:ext="edit" aspectratio="f"/>
                    </v:shape>
                  </w:pict>
                </mc:Fallback>
              </mc:AlternateContent>
            </w:r>
            <w:r>
              <w:rPr>
                <w:rFonts w:hint="eastAsia"/>
              </w:rPr>
              <w:t>音乐美</w:t>
            </w:r>
            <w:r>
              <w:rPr>
                <w:rFonts w:hint="eastAsia"/>
                <w:lang w:val="en-US" w:eastAsia="zh-CN"/>
              </w:rPr>
              <w:t xml:space="preserve">                  寻梦</w:t>
            </w:r>
          </w:p>
          <w:p w14:paraId="19DB2EB2">
            <w:pPr>
              <w:ind w:firstLine="2100" w:firstLineChars="1000"/>
            </w:pPr>
            <w:r>
              <w:rPr>
                <w:rFonts w:hint="eastAsia"/>
              </w:rPr>
              <w:t>美</w:t>
            </w:r>
            <w:r>
              <w:t xml:space="preserve">    </w:t>
            </w:r>
            <w:r>
              <w:rPr>
                <w:rFonts w:hint="eastAsia"/>
              </w:rPr>
              <w:t xml:space="preserve">建筑美 </w:t>
            </w:r>
            <w:r>
              <w:t xml:space="preserve">         </w:t>
            </w:r>
          </w:p>
          <w:p w14:paraId="64FD8954">
            <w:pPr>
              <w:ind w:firstLine="2730" w:firstLineChars="1300"/>
              <w:rPr>
                <w:rFonts w:eastAsia="宋体" w:hint="default"/>
                <w:lang w:val="en-US" w:eastAsia="zh-CN"/>
              </w:rPr>
            </w:pPr>
            <w:r>
              <w:rPr>
                <w:rFonts w:hint="eastAsia"/>
              </w:rPr>
              <w:t>绘画美</w:t>
            </w:r>
            <w:r>
              <w:rPr>
                <w:rFonts w:hint="eastAsia"/>
                <w:lang w:val="en-US" w:eastAsia="zh-CN"/>
              </w:rPr>
              <w:t xml:space="preserve">          入</w:t>
            </w:r>
            <w:r>
              <w:rPr>
                <w:rFonts w:hint="eastAsia"/>
              </w:rPr>
              <w:t>梦</w:t>
            </w:r>
            <w:r>
              <w:rPr>
                <w:rFonts w:hint="eastAsia"/>
                <w:lang w:val="en-US" w:eastAsia="zh-CN"/>
              </w:rPr>
              <w:t xml:space="preserve">             </w:t>
            </w:r>
            <w:r>
              <w:rPr>
                <w:rFonts w:hint="eastAsia"/>
              </w:rPr>
              <w:t>出梦</w:t>
            </w:r>
          </w:p>
        </w:tc>
      </w:tr>
      <w:tr w14:paraId="2018F7DD">
        <w:tblPrEx>
          <w:tblW w:w="0" w:type="auto"/>
          <w:tblInd w:w="0" w:type="dxa"/>
          <w:tblLayout w:type="fixed"/>
          <w:tblCellMar>
            <w:top w:w="0" w:type="dxa"/>
            <w:left w:w="108" w:type="dxa"/>
            <w:bottom w:w="0" w:type="dxa"/>
            <w:right w:w="108" w:type="dxa"/>
          </w:tblCellMar>
        </w:tblPrEx>
        <w:trPr>
          <w:trHeight w:val="1507"/>
        </w:trPr>
        <w:tc>
          <w:tcPr>
            <w:tcW w:w="824" w:type="dxa"/>
          </w:tcPr>
          <w:p w14:paraId="6EB9CB14">
            <w:r>
              <w:rPr>
                <w:rFonts w:hint="eastAsia"/>
              </w:rPr>
              <w:t>课后</w:t>
            </w:r>
          </w:p>
          <w:p w14:paraId="12ADD220">
            <w:pPr>
              <w:rPr>
                <w:sz w:val="24"/>
              </w:rPr>
            </w:pPr>
            <w:r>
              <w:rPr>
                <w:rFonts w:hint="eastAsia"/>
              </w:rPr>
              <w:t>作业</w:t>
            </w:r>
          </w:p>
        </w:tc>
        <w:tc>
          <w:tcPr>
            <w:tcW w:w="7364" w:type="dxa"/>
            <w:gridSpan w:val="4"/>
          </w:tcPr>
          <w:p w14:paraId="17546B43">
            <w:r>
              <w:rPr>
                <w:rFonts w:hint="eastAsia"/>
              </w:rPr>
              <w:t>指导背诵《再别康桥》</w:t>
            </w:r>
          </w:p>
          <w:p w14:paraId="66B13E3D">
            <w:r>
              <w:rPr>
                <w:rFonts w:hint="eastAsia"/>
              </w:rPr>
              <w:t>徐志摩还是有哪些诗是写离别的，请你找一找，同样用今天所学的方法试着分析一下。</w:t>
            </w:r>
          </w:p>
        </w:tc>
      </w:tr>
      <w:tr w14:paraId="33F0B16F">
        <w:tblPrEx>
          <w:tblW w:w="0" w:type="auto"/>
          <w:tblInd w:w="0" w:type="dxa"/>
          <w:tblLayout w:type="fixed"/>
          <w:tblCellMar>
            <w:top w:w="0" w:type="dxa"/>
            <w:left w:w="108" w:type="dxa"/>
            <w:bottom w:w="0" w:type="dxa"/>
            <w:right w:w="108" w:type="dxa"/>
          </w:tblCellMar>
        </w:tblPrEx>
        <w:trPr>
          <w:trHeight w:val="744"/>
        </w:trPr>
        <w:tc>
          <w:tcPr>
            <w:tcW w:w="824" w:type="dxa"/>
          </w:tcPr>
          <w:p w14:paraId="30BC773A"/>
          <w:p w14:paraId="685EF160">
            <w:r>
              <w:rPr>
                <w:rFonts w:hint="eastAsia"/>
              </w:rPr>
              <w:t>教学</w:t>
            </w:r>
          </w:p>
          <w:p w14:paraId="79EDFAE5">
            <w:pPr>
              <w:rPr>
                <w:sz w:val="24"/>
              </w:rPr>
            </w:pPr>
            <w:r>
              <w:rPr>
                <w:rFonts w:hint="eastAsia"/>
              </w:rPr>
              <w:t>评价</w:t>
            </w:r>
          </w:p>
        </w:tc>
        <w:tc>
          <w:tcPr>
            <w:tcW w:w="7364" w:type="dxa"/>
            <w:gridSpan w:val="4"/>
          </w:tcPr>
          <w:p w14:paraId="117B8FF7">
            <w:r>
              <w:t>1.对学生朗读词作的准确性和感情表达的评价。</w:t>
            </w:r>
          </w:p>
          <w:p w14:paraId="72C2FBFC">
            <w:r>
              <w:t>2.对学生理解词作内容和艺术特色的评价。</w:t>
            </w:r>
          </w:p>
          <w:p w14:paraId="5526EB73">
            <w:r>
              <w:rPr>
                <w:rFonts w:hint="eastAsia"/>
              </w:rPr>
              <w:t>3</w:t>
            </w:r>
            <w:r>
              <w:t>.对学生在课堂</w:t>
            </w:r>
            <w:r>
              <w:rPr>
                <w:rFonts w:hint="eastAsia"/>
              </w:rPr>
              <w:t>提问</w:t>
            </w:r>
            <w:r>
              <w:t>和小组活动中的表现进行评价。</w:t>
            </w:r>
          </w:p>
          <w:p w14:paraId="1F3B7FF1">
            <w:r>
              <w:rPr>
                <w:rFonts w:hint="eastAsia"/>
              </w:rPr>
              <w:t>4.对学生课后作业完成情况的评价</w:t>
            </w:r>
          </w:p>
        </w:tc>
      </w:tr>
      <w:tr w14:paraId="189568AF">
        <w:tblPrEx>
          <w:tblW w:w="0" w:type="auto"/>
          <w:tblInd w:w="0" w:type="dxa"/>
          <w:tblLayout w:type="fixed"/>
          <w:tblCellMar>
            <w:top w:w="0" w:type="dxa"/>
            <w:left w:w="108" w:type="dxa"/>
            <w:bottom w:w="0" w:type="dxa"/>
            <w:right w:w="108" w:type="dxa"/>
          </w:tblCellMar>
        </w:tblPrEx>
        <w:trPr>
          <w:trHeight w:val="744"/>
        </w:trPr>
        <w:tc>
          <w:tcPr>
            <w:tcW w:w="824" w:type="dxa"/>
          </w:tcPr>
          <w:p w14:paraId="0130F19D">
            <w:r>
              <w:rPr>
                <w:rFonts w:hint="eastAsia"/>
              </w:rPr>
              <w:t>教学</w:t>
            </w:r>
          </w:p>
          <w:p w14:paraId="3DE83959">
            <w:r>
              <w:rPr>
                <w:rFonts w:hint="eastAsia"/>
              </w:rPr>
              <w:t>反思</w:t>
            </w:r>
          </w:p>
        </w:tc>
        <w:tc>
          <w:tcPr>
            <w:tcW w:w="7364" w:type="dxa"/>
            <w:gridSpan w:val="4"/>
          </w:tcPr>
          <w:p w14:paraId="4AB595C3">
            <w:r>
              <w:rPr>
                <w:rFonts w:hint="eastAsia"/>
                <w:b/>
              </w:rPr>
              <w:t>教学亮点：</w:t>
            </w:r>
            <w:r>
              <w:rPr>
                <w:rFonts w:hint="eastAsia"/>
              </w:rPr>
              <w:t>通过诵读、讨论、分析等多种方式，有效激发了学生的学习兴趣，使他们在理解诗歌内容的同时，也深入体会到了曹操的复杂情感与人生追求。</w:t>
            </w:r>
          </w:p>
          <w:p w14:paraId="6DA4064E">
            <w:r>
              <w:rPr>
                <w:rFonts w:hint="eastAsia"/>
                <w:b/>
              </w:rPr>
              <w:t>待改进之处：</w:t>
            </w:r>
            <w:r>
              <w:rPr>
                <w:rFonts w:hint="eastAsia"/>
              </w:rPr>
              <w:t>部分学生在讨论环节参与度不高，需进一步设计更具启发性和趣味性的问题，引导学生更积极地参与课堂互动。同时，对于诗歌中一些深层次的意象和典故，可提前准备补充材料，帮助学生更好地理解。</w:t>
            </w:r>
          </w:p>
          <w:p w14:paraId="2E95B7C3">
            <w:r>
              <w:rPr>
                <w:rFonts w:hint="eastAsia"/>
                <w:b/>
              </w:rPr>
              <w:t>未来方向：</w:t>
            </w:r>
            <w:r>
              <w:rPr>
                <w:rFonts w:hint="eastAsia"/>
              </w:rPr>
              <w:t>在日后的教学中，将继续探索更多元化的教学方法，如角色扮演、诗歌朗诵比赛等，以提升学生的综合素养，增强对古典文学的兴趣与热爱。</w:t>
            </w:r>
          </w:p>
        </w:tc>
      </w:tr>
    </w:tbl>
    <w:p w14:paraId="6FAB58DA"/>
    <w:sectPr>
      <w:headerReference w:type="default" r:id="rId6"/>
      <w:footerReference w:type="default" r:id="rId7"/>
      <w:pgSz w:w="11906" w:h="16838"/>
      <w:pgMar w:top="1440" w:right="1800" w:bottom="1440" w:left="1800" w:header="851" w:footer="992" w:gutter="0"/>
      <w:cols w:num="1" w:space="425"/>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20007A87" w:usb1="80000000" w:usb2="00000008" w:usb3="00000000" w:csb0="000001FF" w:csb1="00000000"/>
  </w:font>
  <w:font w:name="宋体">
    <w:altName w:val="SimSun"/>
    <w:panose1 w:val="02010600030101010101"/>
    <w:charset w:val="86"/>
    <w:family w:val="auto"/>
    <w:pitch w:val="variable"/>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variable"/>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variable"/>
    <w:sig w:usb0="00000000" w:usb1="00000000" w:usb2="00000000" w:usb3="00000000" w:csb0="80000000" w:csb1="00000000"/>
  </w:font>
  <w:font w:name="Calibri">
    <w:panose1 w:val="020F0502020204030204"/>
    <w:charset w:val="00"/>
    <w:family w:val="swiss"/>
    <w:pitch w:val="variable"/>
    <w:sig w:usb0="E4002EFF" w:usb1="C200247B" w:usb2="00000009" w:usb3="00000000" w:csb0="200001FF" w:csb1="00000000"/>
  </w:font>
  <w:font w:name="楷体">
    <w:panose1 w:val="02010609060101010101"/>
    <w:charset w:val="86"/>
    <w:family w:val="modern"/>
    <w:pitch w:val="default"/>
    <w:sig w:usb0="800002BF" w:usb1="38CF7CFA" w:usb2="00000016" w:usb3="00000000" w:csb0="00040001" w:csb1="00000000"/>
  </w:font>
  <w:font w:name="Cambria Math">
    <w:panose1 w:val="02040503050406030204"/>
    <w:charset w:val="01"/>
    <w:family w:val="roman"/>
    <w:notTrueType/>
    <w:pitch w:val="variable"/>
    <w:sig w:usb0="00000000" w:usb1="00000000" w:usb2="00000000" w:usb3="00000000" w:csb0="0000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14:paraId="118D6347">
    <w:pPr>
      <w:pStyle w:val="Footer"/>
    </w:pPr>
    <w:r>
      <mc:AlternateContent>
        <mc:Choice Requires="wps">
          <w:drawing>
            <wp:anchor distT="0" distB="0" distL="114300" distR="114300" simplePos="0" relativeHeight="251658240"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xmlns:wps="http://schemas.microsoft.com/office/word/2010/wordprocessingShape">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Footer"/>
                          </w:pPr>
                          <w:r>
                            <w:fldChar w:fldCharType="begin"/>
                          </w:r>
                          <w:r>
                            <w:instrText xml:space="preserve"> PAGE  \* MERGEFORMAT </w:instrText>
                          </w:r>
                          <w:r>
                            <w:fldChar w:fldCharType="separate"/>
                          </w:r>
                          <w:r>
                            <w:t>7</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type id="_x0000_t202" coordsize="21600,21600" o:spt="202" path="m,l,21600r21600,l21600,xe">
              <v:stroke joinstyle="miter"/>
              <v:path gradientshapeok="t" o:connecttype="rect"/>
            </v:shapetype>
            <v:shape id="_x0000_s1026" o:spid="_x0000_s2051" type="#_x0000_t202" style="width:2in;height:2in;margin-top:0;margin-left:0;mso-height-relative:page;mso-position-horizontal:center;mso-position-horizontal-relative:margin;mso-width-relative:page;mso-wrap-style:none;position:absolute;z-index:251659264" coordsize="21600,21600" filled="f" stroked="f">
              <o:lock v:ext="edit" aspectratio="f"/>
              <v:textbox style="mso-fit-shape-to-text:t" inset="0,0,0,0">
                <w:txbxContent>
                  <w:p w14:paraId="0EDAAF52">
                    <w:pPr>
                      <w:pStyle w:val="Footer"/>
                    </w:pPr>
                    <w:r>
                      <w:fldChar w:fldCharType="begin"/>
                    </w:r>
                    <w:r>
                      <w:instrText xml:space="preserve"> PAGE  \* MERGEFORMAT </w:instrText>
                    </w:r>
                    <w:r>
                      <w:fldChar w:fldCharType="separate"/>
                    </w:r>
                    <w:r>
                      <w:t>7</w:t>
                    </w:r>
                    <w:r>
                      <w:fldChar w:fldCharType="end"/>
                    </w:r>
                  </w:p>
                </w:txbxContent>
              </v:textbox>
              <w10:wrap anchorx="margin"/>
            </v:shape>
          </w:pict>
        </mc:Fallback>
      </mc:AlternateContent>
    </w:r>
  </w:p>
  <w:p w:rsidR="004151FC">
    <w:pPr>
      <w:tabs>
        <w:tab w:val="center" w:pos="4153"/>
        <w:tab w:val="right" w:pos="8306"/>
      </w:tabs>
      <w:snapToGrid w:val="0"/>
      <w:spacing w:line="240" w:lineRule="auto"/>
      <w:jc w:val="left"/>
      <w:rPr>
        <w:kern w:val="0"/>
        <w:sz w:val="2"/>
        <w:szCs w:val="2"/>
      </w:rPr>
    </w:pPr>
    <w:r>
      <w:rPr>
        <w:color w:val="FFFFFF"/>
        <w:sz w:val="2"/>
        <w:szCs w:val="2"/>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453549720" o:spid="_x0000_s2052" type="#_x0000_t136" alt="学科网 zxxk.com" style="width:2.85pt;height:2.85pt;margin-top:407.9pt;margin-left:158.95pt;mso-position-horizontal-relative:margin;mso-position-vertical-relative:margin;position:absolute;rotation:315;z-index:-251656192" o:allowincell="f" filled="t" stroked="f">
          <v:fill opacity="0.5"/>
          <v:textpath style="font-family:宋体;font-size:8pt;v-same-letter-heights:f;v-text-reverse:f" string="zxxk.com"/>
          <w10:wrap anchorx="margin" anchory="margin"/>
        </v:shape>
      </w:pict>
    </w:r>
    <w:r>
      <w:rPr>
        <w:color w:val="FFFFFF"/>
        <w:sz w:val="2"/>
        <w:szCs w:val="2"/>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图片 5" o:spid="_x0000_s2053" type="#_x0000_t75" alt="学科网 zxxk.com" style="width:0.05pt;height:0.05pt;margin-top:-20.75pt;margin-left:64.05pt;position:absolute;z-index:251661312" filled="f" stroked="f">
          <v:imagedata r:id="rId1" r:href="rId2" o:title=""/>
          <v:path o:extrusionok="f"/>
          <o:lock v:ext="edit" aspectratio="t"/>
        </v:shape>
      </w:pict>
    </w:r>
    <w:r>
      <w:rPr>
        <w:rFonts w:hint="eastAsia"/>
        <w:color w:val="FFFFFF"/>
        <w:kern w:val="0"/>
        <w:sz w:val="2"/>
        <w:szCs w:val="2"/>
      </w:rPr>
      <w:t>学科网（北京）股份有限公司</w:t>
    </w:r>
  </w:p>
</w:ftr>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rsidR="004151FC">
    <w:pPr>
      <w:pBdr>
        <w:bottom w:val="none" w:sz="0" w:space="1" w:color="auto"/>
      </w:pBdr>
      <w:tabs>
        <w:tab w:val="clear" w:pos="4153"/>
        <w:tab w:val="clear" w:pos="8306"/>
      </w:tabs>
      <w:snapToGrid w:val="0"/>
      <w:spacing w:line="240" w:lineRule="auto"/>
      <w:rPr>
        <w:kern w:val="0"/>
        <w:sz w:val="2"/>
        <w:szCs w:val="2"/>
      </w:rPr>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图片 4" o:spid="_x0000_s2049" type="#_x0000_t75" alt="学科网 zxxk.com" style="width:0.75pt;height:0.75pt;margin-top:8.45pt;margin-left:351pt;position:absolute;z-index:251658240" filled="f" stroked="f">
          <v:imagedata r:id="rId1" r:href="rId2" o:title=""/>
          <v:path o:extrusionok="f"/>
          <o:lock v:ext="edit" aspectratio="t"/>
        </v:shape>
      </w:pict>
    </w:r>
    <w:r>
      <w:rPr>
        <w:rFonts w:hint="eastAsia"/>
        <w:color w:val="FFFFFF"/>
        <w:sz w:val="2"/>
        <w:szCs w:val="2"/>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i2050" type="#_x0000_t136" alt="学科网 zxxk.com" style="width:0.89pt;height:0.85pt" filled="f" stroked="f" strokecolor="white">
          <v:fill color2="#aaa"/>
          <v:shadow color="#4d4d4d" opacity="52429f" offset=",3pt"/>
          <v:textpath style="font-family:宋体;font-size:8pt;v-rotate-letters:f;v-same-letter-heights:f;v-text-kern:t;v-text-reverse:f;v-text-spacing:78650f" trim="t" fitpath="t" xscale="f" string="学科网（北京）股份有限公司 "/>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abstractNum w:abstractNumId="0">
    <w:nsid w:val="9915E095"/>
    <w:multiLevelType w:val="singleLevel"/>
    <w:tmpl w:val="9915E095"/>
    <w:lvl w:ilvl="0">
      <w:start w:val="3"/>
      <w:numFmt w:val="chineseCounting"/>
      <w:suff w:val="nothing"/>
      <w:lvlText w:val="%1、"/>
      <w:lvlJc w:val="left"/>
      <w:rPr>
        <w:rFonts w:hint="eastAsia"/>
      </w:rPr>
    </w:lvl>
  </w:abstractNum>
  <w:abstractNum w:abstractNumId="1">
    <w:nsid w:val="67D668DE"/>
    <w:multiLevelType w:val="singleLevel"/>
    <w:tmpl w:val="67D668DE"/>
    <w:lvl w:ilvl="0">
      <w:start w:val="1"/>
      <w:numFmt w:val="decimal"/>
      <w:suff w:val="nothing"/>
      <w:lvlText w:val="（%1）"/>
      <w:lvlJc w:val="left"/>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doNotDisplayPageBoundaries/>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72A27"/>
    <w:rsid w:val="000054D5"/>
    <w:rsid w:val="00032D2F"/>
    <w:rsid w:val="000452FE"/>
    <w:rsid w:val="00057C6A"/>
    <w:rsid w:val="0006368B"/>
    <w:rsid w:val="000A49FE"/>
    <w:rsid w:val="000A4B7A"/>
    <w:rsid w:val="000C1935"/>
    <w:rsid w:val="000D70DF"/>
    <w:rsid w:val="000F1434"/>
    <w:rsid w:val="000F32BF"/>
    <w:rsid w:val="000F3CF7"/>
    <w:rsid w:val="0010162A"/>
    <w:rsid w:val="00101AFE"/>
    <w:rsid w:val="001202B8"/>
    <w:rsid w:val="00151E85"/>
    <w:rsid w:val="00172A27"/>
    <w:rsid w:val="001D0E1B"/>
    <w:rsid w:val="001D460D"/>
    <w:rsid w:val="001E2B83"/>
    <w:rsid w:val="00201DB9"/>
    <w:rsid w:val="0021036F"/>
    <w:rsid w:val="0021633A"/>
    <w:rsid w:val="00250259"/>
    <w:rsid w:val="00277A33"/>
    <w:rsid w:val="00351526"/>
    <w:rsid w:val="00363DF8"/>
    <w:rsid w:val="0037278E"/>
    <w:rsid w:val="003E312D"/>
    <w:rsid w:val="003F234F"/>
    <w:rsid w:val="00414177"/>
    <w:rsid w:val="004151FC"/>
    <w:rsid w:val="00443962"/>
    <w:rsid w:val="00504434"/>
    <w:rsid w:val="00507FFA"/>
    <w:rsid w:val="005914C4"/>
    <w:rsid w:val="005F412C"/>
    <w:rsid w:val="0060293E"/>
    <w:rsid w:val="006122E3"/>
    <w:rsid w:val="0065339C"/>
    <w:rsid w:val="006A0730"/>
    <w:rsid w:val="006C7EF2"/>
    <w:rsid w:val="00773900"/>
    <w:rsid w:val="00775AEE"/>
    <w:rsid w:val="0080710B"/>
    <w:rsid w:val="0080764F"/>
    <w:rsid w:val="00850741"/>
    <w:rsid w:val="008678E6"/>
    <w:rsid w:val="00883942"/>
    <w:rsid w:val="008D130C"/>
    <w:rsid w:val="008F3C30"/>
    <w:rsid w:val="009057B1"/>
    <w:rsid w:val="00907F2A"/>
    <w:rsid w:val="0091513C"/>
    <w:rsid w:val="00936DD9"/>
    <w:rsid w:val="00961E5D"/>
    <w:rsid w:val="00962864"/>
    <w:rsid w:val="00972738"/>
    <w:rsid w:val="009B0D62"/>
    <w:rsid w:val="009C56EC"/>
    <w:rsid w:val="009F38E3"/>
    <w:rsid w:val="00A10175"/>
    <w:rsid w:val="00A15D3F"/>
    <w:rsid w:val="00A539E0"/>
    <w:rsid w:val="00A66871"/>
    <w:rsid w:val="00A733C4"/>
    <w:rsid w:val="00AB7932"/>
    <w:rsid w:val="00AC2DD0"/>
    <w:rsid w:val="00AE4F6D"/>
    <w:rsid w:val="00AF0D7D"/>
    <w:rsid w:val="00B14BB7"/>
    <w:rsid w:val="00B26708"/>
    <w:rsid w:val="00B33B1A"/>
    <w:rsid w:val="00B52329"/>
    <w:rsid w:val="00B64BDB"/>
    <w:rsid w:val="00BA0B34"/>
    <w:rsid w:val="00C02FC6"/>
    <w:rsid w:val="00C44800"/>
    <w:rsid w:val="00C52D0A"/>
    <w:rsid w:val="00C729D4"/>
    <w:rsid w:val="00C7497A"/>
    <w:rsid w:val="00C83247"/>
    <w:rsid w:val="00CA1EA2"/>
    <w:rsid w:val="00CB4F43"/>
    <w:rsid w:val="00CC6B2C"/>
    <w:rsid w:val="00CF2E6D"/>
    <w:rsid w:val="00D779AD"/>
    <w:rsid w:val="00D912FB"/>
    <w:rsid w:val="00DA65B4"/>
    <w:rsid w:val="00DB65F2"/>
    <w:rsid w:val="00DC0202"/>
    <w:rsid w:val="00E145C4"/>
    <w:rsid w:val="00E25831"/>
    <w:rsid w:val="00E56629"/>
    <w:rsid w:val="00E62208"/>
    <w:rsid w:val="00E75E43"/>
    <w:rsid w:val="00E8699F"/>
    <w:rsid w:val="00EC0BC0"/>
    <w:rsid w:val="00EC4A9D"/>
    <w:rsid w:val="00EC7B90"/>
    <w:rsid w:val="00F23CDB"/>
    <w:rsid w:val="00F308E4"/>
    <w:rsid w:val="00F5562A"/>
    <w:rsid w:val="00F615BC"/>
    <w:rsid w:val="00F71BCE"/>
    <w:rsid w:val="00F84C7F"/>
    <w:rsid w:val="00F906D9"/>
    <w:rsid w:val="00F9461A"/>
    <w:rsid w:val="00FA567D"/>
    <w:rsid w:val="00FC5CD2"/>
    <w:rsid w:val="00FE2F88"/>
    <w:rsid w:val="01594014"/>
    <w:rsid w:val="03420482"/>
    <w:rsid w:val="044A30F0"/>
    <w:rsid w:val="05172384"/>
    <w:rsid w:val="051F457C"/>
    <w:rsid w:val="087C1126"/>
    <w:rsid w:val="08D030CD"/>
    <w:rsid w:val="0AC6100C"/>
    <w:rsid w:val="0B624E59"/>
    <w:rsid w:val="0C197F77"/>
    <w:rsid w:val="0C413097"/>
    <w:rsid w:val="0CD33390"/>
    <w:rsid w:val="0D1D32B9"/>
    <w:rsid w:val="0DB50845"/>
    <w:rsid w:val="10245D58"/>
    <w:rsid w:val="11951E4E"/>
    <w:rsid w:val="12D60CC5"/>
    <w:rsid w:val="14153CC5"/>
    <w:rsid w:val="18B034FD"/>
    <w:rsid w:val="1BCB46BE"/>
    <w:rsid w:val="1F356A1F"/>
    <w:rsid w:val="1F6B68E4"/>
    <w:rsid w:val="20647E9A"/>
    <w:rsid w:val="22B24172"/>
    <w:rsid w:val="22EF5136"/>
    <w:rsid w:val="24144977"/>
    <w:rsid w:val="28841436"/>
    <w:rsid w:val="2A385C74"/>
    <w:rsid w:val="2A9071FF"/>
    <w:rsid w:val="2ADE61BC"/>
    <w:rsid w:val="2B323CDB"/>
    <w:rsid w:val="2C2E67A6"/>
    <w:rsid w:val="367755AA"/>
    <w:rsid w:val="37B41E6D"/>
    <w:rsid w:val="3C5200CC"/>
    <w:rsid w:val="3C963A04"/>
    <w:rsid w:val="3DF67B11"/>
    <w:rsid w:val="3ECD296B"/>
    <w:rsid w:val="3FCA3D2D"/>
    <w:rsid w:val="40B81B94"/>
    <w:rsid w:val="40D519B8"/>
    <w:rsid w:val="41850CE8"/>
    <w:rsid w:val="42745DE2"/>
    <w:rsid w:val="42F0398E"/>
    <w:rsid w:val="4396542E"/>
    <w:rsid w:val="44207C4D"/>
    <w:rsid w:val="446652B4"/>
    <w:rsid w:val="449C751A"/>
    <w:rsid w:val="45D4511E"/>
    <w:rsid w:val="47D90FD6"/>
    <w:rsid w:val="4A54394D"/>
    <w:rsid w:val="4A8C758B"/>
    <w:rsid w:val="4B3519D1"/>
    <w:rsid w:val="4B3858C5"/>
    <w:rsid w:val="4BEC331C"/>
    <w:rsid w:val="4D1C1E24"/>
    <w:rsid w:val="4DC70A17"/>
    <w:rsid w:val="4DE90850"/>
    <w:rsid w:val="4F2C6C47"/>
    <w:rsid w:val="4F8E7FD2"/>
    <w:rsid w:val="50C44BA3"/>
    <w:rsid w:val="50E33A31"/>
    <w:rsid w:val="51752B27"/>
    <w:rsid w:val="51791EEB"/>
    <w:rsid w:val="5226158B"/>
    <w:rsid w:val="52715B6C"/>
    <w:rsid w:val="53D8739D"/>
    <w:rsid w:val="55B47698"/>
    <w:rsid w:val="5ACB6D55"/>
    <w:rsid w:val="5B564B29"/>
    <w:rsid w:val="5CEE7896"/>
    <w:rsid w:val="5D755104"/>
    <w:rsid w:val="5F9C7C20"/>
    <w:rsid w:val="61CB6793"/>
    <w:rsid w:val="661D3A06"/>
    <w:rsid w:val="66754B6E"/>
    <w:rsid w:val="66D15084"/>
    <w:rsid w:val="678B5276"/>
    <w:rsid w:val="69A41627"/>
    <w:rsid w:val="6ACA3A8C"/>
    <w:rsid w:val="6BA3608B"/>
    <w:rsid w:val="6C3B62C3"/>
    <w:rsid w:val="6C65100D"/>
    <w:rsid w:val="6DA92D41"/>
    <w:rsid w:val="6DAA54AF"/>
    <w:rsid w:val="70F80C27"/>
    <w:rsid w:val="718D291D"/>
    <w:rsid w:val="7401100D"/>
    <w:rsid w:val="751A5610"/>
    <w:rsid w:val="76BF4CE2"/>
    <w:rsid w:val="79AC0800"/>
    <w:rsid w:val="79BA5416"/>
    <w:rsid w:val="7B775983"/>
    <w:rsid w:val="7BB10350"/>
    <w:rsid w:val="7BDE7397"/>
    <w:rsid w:val="7BE81FC4"/>
    <w:rsid w:val="7CA97FD1"/>
  </w:rsids>
  <w:docVars>
    <w:docVar w:name="commondata" w:val="eyJoZGlkIjoiNjljMjc4Yzg1MmYwMzdiYjc5MDA0Yzg3N2Y0MDQwNGIifQ=="/>
  </w:docVars>
  <m:mathPr>
    <m:mathFont m:val="Cambria Math"/>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宋体" w:hAnsi="Times New Roman" w:cs="Times New Roman"/>
        <w:lang w:val="en-US" w:eastAsia="en-US" w:bidi="ar-SA"/>
      </w:rPr>
    </w:rPrDefault>
    <w:pPrDefault/>
  </w:docDefaults>
  <w:latentStyles w:defLockedState="0" w:defUIPriority="99" w:defSemiHidden="1" w:defUnhideWhenUsed="1" w:defQFormat="0" w:count="260">
    <w:lsdException w:name="Normal" w:semiHidden="0" w:uiPriority="0" w:unhideWhenUsed="0" w:qFormat="1"/>
    <w:lsdException w:name="heading 1" w:semiHidden="0" w:uiPriority="0" w:unhideWhenUsed="0" w:qFormat="1"/>
    <w:lsdException w:name="heading 2" w:semiHidden="0"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0" w:uiPriority="0" w:unhideWhenUsed="0"/>
    <w:lsdException w:name="index 2" w:semiHidden="0" w:uiPriority="0" w:unhideWhenUsed="0"/>
    <w:lsdException w:name="index 3" w:semiHidden="0" w:uiPriority="0" w:unhideWhenUsed="0"/>
    <w:lsdException w:name="index 4" w:semiHidden="0" w:uiPriority="0" w:unhideWhenUsed="0"/>
    <w:lsdException w:name="index 5" w:semiHidden="0" w:uiPriority="0" w:unhideWhenUsed="0"/>
    <w:lsdException w:name="index 6" w:semiHidden="0" w:uiPriority="0" w:unhideWhenUsed="0"/>
    <w:lsdException w:name="index 7" w:semiHidden="0" w:uiPriority="0" w:unhideWhenUsed="0"/>
    <w:lsdException w:name="index 8" w:semiHidden="0" w:uiPriority="0" w:unhideWhenUsed="0"/>
    <w:lsdException w:name="index 9" w:semiHidden="0" w:uiPriority="0" w:unhideWhenUsed="0"/>
    <w:lsdException w:name="toc 1" w:semiHidden="0" w:uiPriority="0" w:unhideWhenUsed="0"/>
    <w:lsdException w:name="toc 2" w:semiHidden="0" w:uiPriority="0" w:unhideWhenUsed="0"/>
    <w:lsdException w:name="toc 3" w:semiHidden="0" w:uiPriority="0" w:unhideWhenUsed="0"/>
    <w:lsdException w:name="toc 4" w:semiHidden="0" w:uiPriority="0" w:unhideWhenUsed="0"/>
    <w:lsdException w:name="toc 5" w:semiHidden="0" w:uiPriority="0" w:unhideWhenUsed="0"/>
    <w:lsdException w:name="toc 6" w:semiHidden="0" w:uiPriority="0" w:unhideWhenUsed="0"/>
    <w:lsdException w:name="toc 7" w:semiHidden="0" w:uiPriority="0" w:unhideWhenUsed="0"/>
    <w:lsdException w:name="toc 8" w:semiHidden="0" w:uiPriority="0" w:unhideWhenUsed="0"/>
    <w:lsdException w:name="toc 9" w:semiHidden="0" w:uiPriority="0" w:unhideWhenUsed="0"/>
    <w:lsdException w:name="Normal Indent" w:semiHidden="0" w:uiPriority="0" w:unhideWhenUsed="0"/>
    <w:lsdException w:name="footnote text" w:semiHidden="0" w:uiPriority="0" w:unhideWhenUsed="0"/>
    <w:lsdException w:name="annotation text" w:semiHidden="0" w:uiPriority="0" w:unhideWhenUsed="0"/>
    <w:lsdException w:name="header" w:semiHidden="0" w:uiPriority="0" w:unhideWhenUsed="0" w:qFormat="1"/>
    <w:lsdException w:name="footer" w:semiHidden="0" w:uiPriority="0" w:unhideWhenUsed="0" w:qFormat="1"/>
    <w:lsdException w:name="index heading" w:semiHidden="0" w:uiPriority="0" w:unhideWhenUsed="0"/>
    <w:lsdException w:name="caption" w:uiPriority="0" w:qFormat="1"/>
    <w:lsdException w:name="table of figures" w:semiHidden="0" w:uiPriority="0" w:unhideWhenUsed="0"/>
    <w:lsdException w:name="envelope address" w:semiHidden="0" w:uiPriority="0" w:unhideWhenUsed="0"/>
    <w:lsdException w:name="envelope return" w:semiHidden="0" w:uiPriority="0" w:unhideWhenUsed="0"/>
    <w:lsdException w:name="footnote reference" w:semiHidden="0" w:uiPriority="0" w:unhideWhenUsed="0"/>
    <w:lsdException w:name="annotation reference" w:semiHidden="0" w:uiPriority="0" w:unhideWhenUsed="0"/>
    <w:lsdException w:name="line number" w:semiHidden="0" w:uiPriority="0" w:unhideWhenUsed="0"/>
    <w:lsdException w:name="page number" w:semiHidden="0" w:uiPriority="0" w:unhideWhenUsed="0"/>
    <w:lsdException w:name="endnote reference" w:semiHidden="0" w:uiPriority="0" w:unhideWhenUsed="0"/>
    <w:lsdException w:name="endnote text" w:semiHidden="0" w:uiPriority="0" w:unhideWhenUsed="0"/>
    <w:lsdException w:name="table of authorities" w:semiHidden="0" w:uiPriority="0" w:unhideWhenUsed="0"/>
    <w:lsdException w:name="macro" w:semiHidden="0" w:uiPriority="0" w:unhideWhenUsed="0"/>
    <w:lsdException w:name="toa heading" w:semiHidden="0" w:uiPriority="0" w:unhideWhenUsed="0"/>
    <w:lsdException w:name="List" w:semiHidden="0" w:uiPriority="0" w:unhideWhenUsed="0"/>
    <w:lsdException w:name="List Bullet" w:semiHidden="0" w:uiPriority="0" w:unhideWhenUsed="0"/>
    <w:lsdException w:name="List Number" w:semiHidden="0" w:uiPriority="0" w:unhideWhenUsed="0"/>
    <w:lsdException w:name="List 2" w:semiHidden="0" w:uiPriority="0" w:unhideWhenUsed="0"/>
    <w:lsdException w:name="List 3" w:semiHidden="0" w:uiPriority="0" w:unhideWhenUsed="0"/>
    <w:lsdException w:name="List 4" w:semiHidden="0" w:uiPriority="0" w:unhideWhenUsed="0"/>
    <w:lsdException w:name="List 5" w:semiHidden="0" w:uiPriority="0" w:unhideWhenUsed="0"/>
    <w:lsdException w:name="List Bullet 2" w:semiHidden="0" w:uiPriority="0" w:unhideWhenUsed="0"/>
    <w:lsdException w:name="List Bullet 3" w:semiHidden="0" w:uiPriority="0" w:unhideWhenUsed="0"/>
    <w:lsdException w:name="List Bullet 4" w:semiHidden="0" w:uiPriority="0" w:unhideWhenUsed="0"/>
    <w:lsdException w:name="List Bullet 5" w:semiHidden="0" w:uiPriority="0" w:unhideWhenUsed="0"/>
    <w:lsdException w:name="List Number 2" w:semiHidden="0" w:uiPriority="0" w:unhideWhenUsed="0"/>
    <w:lsdException w:name="List Number 3" w:semiHidden="0" w:uiPriority="0" w:unhideWhenUsed="0"/>
    <w:lsdException w:name="List Number 4" w:semiHidden="0" w:uiPriority="0" w:unhideWhenUsed="0"/>
    <w:lsdException w:name="List Number 5" w:semiHidden="0" w:uiPriority="0" w:unhideWhenUsed="0"/>
    <w:lsdException w:name="Title" w:semiHidden="0" w:uiPriority="0" w:unhideWhenUsed="0" w:qFormat="1"/>
    <w:lsdException w:name="Closing" w:semiHidden="0" w:uiPriority="0" w:unhideWhenUsed="0"/>
    <w:lsdException w:name="Signature" w:semiHidden="0" w:uiPriority="0" w:unhideWhenUsed="0"/>
    <w:lsdException w:name="Default Paragraph Font" w:uiPriority="1" w:qFormat="1"/>
    <w:lsdException w:name="Body Text" w:semiHidden="0" w:uiPriority="0" w:unhideWhenUsed="0"/>
    <w:lsdException w:name="Body Text Indent" w:semiHidden="0" w:uiPriority="0" w:unhideWhenUsed="0"/>
    <w:lsdException w:name="List Continue" w:semiHidden="0" w:uiPriority="0" w:unhideWhenUsed="0"/>
    <w:lsdException w:name="List Continue 2" w:semiHidden="0" w:uiPriority="0" w:unhideWhenUsed="0"/>
    <w:lsdException w:name="List Continue 3" w:semiHidden="0" w:uiPriority="0" w:unhideWhenUsed="0"/>
    <w:lsdException w:name="List Continue 4" w:semiHidden="0" w:uiPriority="0" w:unhideWhenUsed="0"/>
    <w:lsdException w:name="List Continue 5" w:semiHidden="0" w:uiPriority="0" w:unhideWhenUsed="0"/>
    <w:lsdException w:name="Message Header" w:semiHidden="0" w:uiPriority="0" w:unhideWhenUsed="0"/>
    <w:lsdException w:name="Subtitle" w:semiHidden="0" w:uiPriority="0" w:unhideWhenUsed="0" w:qFormat="1"/>
    <w:lsdException w:name="Salutation" w:semiHidden="0" w:uiPriority="0" w:unhideWhenUsed="0"/>
    <w:lsdException w:name="Date" w:semiHidden="0" w:uiPriority="0" w:unhideWhenUsed="0"/>
    <w:lsdException w:name="Body Text First Indent" w:semiHidden="0" w:uiPriority="0" w:unhideWhenUsed="0"/>
    <w:lsdException w:name="Body Text First Indent 2" w:semiHidden="0" w:uiPriority="0" w:unhideWhenUsed="0"/>
    <w:lsdException w:name="Note Heading" w:semiHidden="0" w:uiPriority="0" w:unhideWhenUsed="0"/>
    <w:lsdException w:name="Body Text 2" w:semiHidden="0" w:uiPriority="0" w:unhideWhenUsed="0"/>
    <w:lsdException w:name="Body Text 3" w:semiHidden="0" w:uiPriority="0" w:unhideWhenUsed="0"/>
    <w:lsdException w:name="Body Text Indent 2" w:semiHidden="0" w:uiPriority="0" w:unhideWhenUsed="0"/>
    <w:lsdException w:name="Body Text Indent 3" w:semiHidden="0" w:uiPriority="0" w:unhideWhenUsed="0"/>
    <w:lsdException w:name="Block Text" w:semiHidden="0" w:uiPriority="0" w:unhideWhenUsed="0"/>
    <w:lsdException w:name="Hyperlink" w:semiHidden="0" w:uiPriority="0" w:unhideWhenUsed="0"/>
    <w:lsdException w:name="FollowedHyperlink" w:semiHidden="0" w:uiPriority="0" w:unhideWhenUsed="0"/>
    <w:lsdException w:name="Strong" w:semiHidden="0" w:uiPriority="0" w:unhideWhenUsed="0" w:qFormat="1"/>
    <w:lsdException w:name="Emphasis" w:semiHidden="0" w:uiPriority="0" w:unhideWhenUsed="0" w:qFormat="1"/>
    <w:lsdException w:name="Document Map" w:semiHidden="0" w:uiPriority="0" w:unhideWhenUsed="0"/>
    <w:lsdException w:name="Plain Text" w:semiHidden="0" w:uiPriority="0" w:unhideWhenUsed="0"/>
    <w:lsdException w:name="E-mail Signature" w:semiHidden="0" w:uiPriority="0" w:unhideWhenUsed="0"/>
    <w:lsdException w:name="Normal (Web)" w:semiHidden="0" w:uiPriority="0" w:unhideWhenUsed="0"/>
    <w:lsdException w:name="HTML Acronym" w:semiHidden="0" w:uiPriority="0" w:unhideWhenUsed="0"/>
    <w:lsdException w:name="HTML Address" w:semiHidden="0" w:uiPriority="0" w:unhideWhenUsed="0"/>
    <w:lsdException w:name="HTML Cite" w:semiHidden="0" w:uiPriority="0" w:unhideWhenUsed="0"/>
    <w:lsdException w:name="HTML Code" w:semiHidden="0" w:uiPriority="0" w:unhideWhenUsed="0"/>
    <w:lsdException w:name="HTML Definition" w:semiHidden="0" w:uiPriority="0" w:unhideWhenUsed="0"/>
    <w:lsdException w:name="HTML Keyboard" w:semiHidden="0" w:uiPriority="0" w:unhideWhenUsed="0"/>
    <w:lsdException w:name="HTML Preformatted" w:semiHidden="0" w:uiPriority="0" w:unhideWhenUsed="0"/>
    <w:lsdException w:name="HTML Sample" w:semiHidden="0" w:uiPriority="0" w:unhideWhenUsed="0"/>
    <w:lsdException w:name="HTML Typewriter" w:semiHidden="0" w:uiPriority="0" w:unhideWhenUsed="0"/>
    <w:lsdException w:name="HTML Variable" w:semiHidden="0" w:uiPriority="0" w:unhideWhenUsed="0"/>
    <w:lsdException w:name="Normal Table" w:qFormat="1"/>
    <w:lsdException w:name="annotation subject" w:semiHidden="0" w:uiPriority="0" w:unhideWhenUsed="0"/>
    <w:lsdException w:name="Table Simple 1" w:uiPriority="0"/>
    <w:lsdException w:name="Table Simple 2" w:uiPriority="0"/>
    <w:lsdException w:name="Table Simple 3" w:uiPriority="0"/>
    <w:lsdException w:name="Table Classic 1" w:uiPriority="0"/>
    <w:lsdException w:name="Table Classic 2" w:uiPriority="0"/>
    <w:lsdException w:name="Table Classic 3" w:uiPriority="0"/>
    <w:lsdException w:name="Table Classic 4" w:uiPriority="0"/>
    <w:lsdException w:name="Table Colorful 1" w:uiPriority="0"/>
    <w:lsdException w:name="Table Colorful 2" w:uiPriority="0"/>
    <w:lsdException w:name="Table Colorful 3" w:uiPriority="0"/>
    <w:lsdException w:name="Table Columns 1" w:uiPriority="0"/>
    <w:lsdException w:name="Table Columns 2" w:uiPriority="0"/>
    <w:lsdException w:name="Table Columns 3" w:uiPriority="0"/>
    <w:lsdException w:name="Table Columns 4" w:uiPriority="0"/>
    <w:lsdException w:name="Table Columns 5" w:uiPriority="0"/>
    <w:lsdException w:name="Table Grid 1" w:uiPriority="0"/>
    <w:lsdException w:name="Table Grid 2" w:uiPriority="0"/>
    <w:lsdException w:name="Table Grid 3" w:uiPriority="0"/>
    <w:lsdException w:name="Table Grid 4" w:uiPriority="0"/>
    <w:lsdException w:name="Table Grid 5" w:uiPriority="0"/>
    <w:lsdException w:name="Table Grid 6" w:uiPriority="0"/>
    <w:lsdException w:name="Table Grid 7" w:uiPriority="0"/>
    <w:lsdException w:name="Table Grid 8" w:uiPriority="0"/>
    <w:lsdException w:name="Table List 1" w:uiPriority="0"/>
    <w:lsdException w:name="Table List 2" w:uiPriority="0"/>
    <w:lsdException w:name="Table List 3" w:uiPriority="0"/>
    <w:lsdException w:name="Table List 4" w:uiPriority="0"/>
    <w:lsdException w:name="Table List 5" w:uiPriority="0"/>
    <w:lsdException w:name="Table List 6" w:uiPriority="0"/>
    <w:lsdException w:name="Table List 7" w:uiPriority="0"/>
    <w:lsdException w:name="Table List 8" w:uiPriority="0"/>
    <w:lsdException w:name="Table 3D effects 1" w:uiPriority="0"/>
    <w:lsdException w:name="Table 3D effects 2" w:uiPriority="0"/>
    <w:lsdException w:name="Table 3D effects 3" w:uiPriority="0"/>
    <w:lsdException w:name="Table Contemporary" w:uiPriority="0"/>
    <w:lsdException w:name="Table Elegant" w:uiPriority="0"/>
    <w:lsdException w:name="Table Professional" w:uiPriority="0"/>
    <w:lsdException w:name="Table Subtle 1" w:uiPriority="0"/>
    <w:lsdException w:name="Table Subtle 2" w:uiPriority="0"/>
    <w:lsdException w:name="Table Web 1" w:uiPriority="0"/>
    <w:lsdException w:name="Table Web 2" w:uiPriority="0"/>
    <w:lsdException w:name="Table Web 3" w:uiPriority="0"/>
    <w:lsdException w:name="Balloon Text" w:semiHidden="0" w:uiPriority="0" w:unhideWhenUsed="0"/>
    <w:lsdException w:name="Table Grid" w:semiHidden="0" w:uiPriority="0" w:unhideWhenUsed="0" w:qFormat="1"/>
    <w:lsdException w:name="Table Theme" w:uiPriority="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List Paragraph" w:semiHidden="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atentStyles>
  <w:style w:type="paragraph" w:default="1" w:styleId="Normal">
    <w:name w:val="Normal"/>
    <w:autoRedefine/>
    <w:qFormat/>
    <w:pPr>
      <w:widowControl w:val="0"/>
      <w:spacing w:line="360" w:lineRule="auto"/>
      <w:jc w:val="both"/>
    </w:pPr>
    <w:rPr>
      <w:rFonts w:ascii="Times New Roman" w:eastAsia="宋体" w:hAnsi="Times New Roman" w:cs="Times New Roman"/>
      <w:kern w:val="2"/>
      <w:sz w:val="21"/>
      <w:szCs w:val="24"/>
      <w:lang w:val="en-US" w:eastAsia="zh-CN" w:bidi="ar-SA"/>
    </w:rPr>
  </w:style>
  <w:style w:type="paragraph" w:styleId="Heading2">
    <w:name w:val="heading 2"/>
    <w:basedOn w:val="Normal"/>
    <w:next w:val="Normal"/>
    <w:unhideWhenUsed/>
    <w:qFormat/>
    <w:pPr>
      <w:keepNext/>
      <w:keepLines/>
      <w:spacing w:before="260" w:beforeLines="0" w:beforeAutospacing="0" w:after="260" w:afterLines="0" w:afterAutospacing="0" w:line="413" w:lineRule="auto"/>
      <w:outlineLvl w:val="1"/>
    </w:pPr>
    <w:rPr>
      <w:rFonts w:ascii="Arial" w:eastAsia="黑体" w:hAnsi="Arial"/>
      <w:b/>
      <w:sz w:val="32"/>
    </w:rPr>
  </w:style>
  <w:style w:type="character" w:default="1" w:styleId="DefaultParagraphFont">
    <w:name w:val="Default Paragraph Font"/>
    <w:uiPriority w:val="1"/>
    <w:semiHidden/>
    <w:unhideWhenUsed/>
    <w:qFormat/>
  </w:style>
  <w:style w:type="table" w:default="1" w:styleId="TableNormal">
    <w:name w:val="Normal Table"/>
    <w:uiPriority w:val="99"/>
    <w:semiHidden/>
    <w:unhideWhenUsed/>
    <w:qFormat/>
    <w:tblPr>
      <w:tblCellMar>
        <w:top w:w="0" w:type="dxa"/>
        <w:left w:w="108" w:type="dxa"/>
        <w:bottom w:w="0" w:type="dxa"/>
        <w:right w:w="108" w:type="dxa"/>
      </w:tblCellMar>
    </w:tblPr>
  </w:style>
  <w:style w:type="paragraph" w:styleId="Footer">
    <w:name w:val="footer"/>
    <w:basedOn w:val="Normal"/>
    <w:autoRedefine/>
    <w:qFormat/>
    <w:pPr>
      <w:tabs>
        <w:tab w:val="center" w:pos="4153"/>
        <w:tab w:val="right" w:pos="8306"/>
      </w:tabs>
      <w:snapToGrid w:val="0"/>
    </w:pPr>
    <w:rPr>
      <w:sz w:val="18"/>
    </w:rPr>
  </w:style>
  <w:style w:type="paragraph" w:styleId="Header">
    <w:name w:val="header"/>
    <w:basedOn w:val="Normal"/>
    <w:autoRedefine/>
    <w:qFormat/>
    <w:pPr>
      <w:pBdr>
        <w:top w:val="none" w:sz="0" w:space="1" w:color="auto"/>
        <w:left w:val="none" w:sz="0" w:space="4" w:color="auto"/>
        <w:bottom w:val="none" w:sz="0" w:space="1" w:color="auto"/>
        <w:right w:val="none" w:sz="0" w:space="4" w:color="auto"/>
      </w:pBdr>
      <w:tabs>
        <w:tab w:val="center" w:pos="4153"/>
        <w:tab w:val="right" w:pos="8306"/>
      </w:tabs>
      <w:snapToGrid w:val="0"/>
      <w:spacing w:line="240" w:lineRule="auto"/>
    </w:pPr>
    <w:rPr>
      <w:sz w:val="18"/>
    </w:rPr>
  </w:style>
  <w:style w:type="table" w:styleId="TableGrid">
    <w:name w:val="Table Grid"/>
    <w:basedOn w:val="TableNormal"/>
    <w:autoRedefine/>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tcBorders>
        <w:top w:val="single" w:sz="4" w:space="0" w:color="auto"/>
        <w:left w:val="single" w:sz="4" w:space="0" w:color="auto"/>
        <w:bottom w:val="single" w:sz="4" w:space="0" w:color="auto"/>
        <w:right w:val="single" w:sz="4" w:space="0" w:color="auto"/>
      </w:tcBorders>
    </w:tcPr>
  </w:style>
  <w:style w:type="paragraph" w:styleId="ListParagraph">
    <w:name w:val="List Paragraph"/>
    <w:basedOn w:val="Normal"/>
    <w:uiPriority w:val="99"/>
    <w:qFormat/>
    <w:pPr>
      <w:ind w:firstLine="420" w:firstLineChars="20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Relationships xmlns="http://schemas.openxmlformats.org/package/2006/relationships"><Relationship Id="rId1" Type="http://schemas.openxmlformats.org/officeDocument/2006/relationships/settings" Target="settings.xml" /><Relationship Id="rId10" Type="http://schemas.openxmlformats.org/officeDocument/2006/relationships/styles" Target="styles.xml" /><Relationship Id="rId2" Type="http://schemas.openxmlformats.org/officeDocument/2006/relationships/webSettings" Target="webSettings.xml" /><Relationship Id="rId3" Type="http://schemas.openxmlformats.org/officeDocument/2006/relationships/fontTable" Target="fontTable.xml" /><Relationship Id="rId4" Type="http://schemas.openxmlformats.org/officeDocument/2006/relationships/customXml" Target="../customXml/item1.xml" /><Relationship Id="rId5" Type="http://schemas.openxmlformats.org/officeDocument/2006/relationships/image" Target="media/image1.png" /><Relationship Id="rId6" Type="http://schemas.openxmlformats.org/officeDocument/2006/relationships/header" Target="header1.xml" /><Relationship Id="rId7" Type="http://schemas.openxmlformats.org/officeDocument/2006/relationships/footer" Target="footer1.xml" /><Relationship Id="rId8" Type="http://schemas.openxmlformats.org/officeDocument/2006/relationships/theme" Target="theme/theme1.xml" /><Relationship Id="rId9" Type="http://schemas.openxmlformats.org/officeDocument/2006/relationships/numbering" Target="numbering.xml" /></Relationships>
</file>

<file path=word/_rels/footer1.xml.rels><?xml version="1.0" encoding="utf-8" standalone="yes"?><Relationships xmlns="http://schemas.openxmlformats.org/package/2006/relationships"><Relationship Id="rId1" Type="http://schemas.openxmlformats.org/officeDocument/2006/relationships/image" Target="media/image2.png" /><Relationship Id="rId2" Type="http://schemas.openxmlformats.org/officeDocument/2006/relationships/image" Target="file:///D:\qq&#25991;&#20214;\712321467\Image\C2C\Image2\%7B75232B38-A165-1FB7-499C-2E1C792CACB5%7D.png" TargetMode="External" /></Relationships>
</file>

<file path=word/_rels/header1.xml.rels><?xml version="1.0" encoding="utf-8" standalone="yes"?><Relationships xmlns="http://schemas.openxmlformats.org/package/2006/relationships"><Relationship Id="rId1" Type="http://schemas.openxmlformats.org/officeDocument/2006/relationships/image" Target="media/image2.png" /><Relationship Id="rId2" Type="http://schemas.openxmlformats.org/officeDocument/2006/relationships/image" Target="file:///D:\qq&#25991;&#20214;\712321467\Image\C2C\Image2\%7B75232B38-A165-1FB7-499C-2E1C792CACB5%7D.png" TargetMode="External" /></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Relationships xmlns="http://schemas.openxmlformats.org/package/2006/relationships"><Relationship Id="rId1" Type="http://schemas.openxmlformats.org/officeDocument/2006/relationships/customXmlProps" Target="itemProps1.xml" /></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8</TotalTime>
  <Pages>9</Pages>
  <Words>5909</Words>
  <Characters>6030</Characters>
  <Application>Microsoft Office Word</Application>
  <DocSecurity>0</DocSecurity>
  <Lines>44</Lines>
  <Paragraphs>12</Paragraphs>
  <ScaleCrop>false</ScaleCrop>
  <Company/>
  <LinksUpToDate>false</LinksUpToDate>
  <CharactersWithSpaces>6205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Lenovo</dc:creator>
  <cp:lastModifiedBy>梅译文</cp:lastModifiedBy>
  <cp:revision>10</cp:revision>
  <dcterms:created xsi:type="dcterms:W3CDTF">2024-11-05T14:49:00Z</dcterms:created>
  <dcterms:modified xsi:type="dcterms:W3CDTF">2025-01-12T05:39:26Z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lbum">
    <vt:lpwstr>rbm.xkw.com</vt:lpwstr>
  </property>
  <property fmtid="{D5CDD505-2E9C-101B-9397-08002B2CF9AE}" pid="3" name="author">
    <vt:lpwstr>rbm.xkw.com</vt:lpwstr>
  </property>
  <property fmtid="{D5CDD505-2E9C-101B-9397-08002B2CF9AE}" pid="4" name="company">
    <vt:lpwstr>学科网</vt:lpwstr>
  </property>
  <property fmtid="{D5CDD505-2E9C-101B-9397-08002B2CF9AE}" pid="5" name="copyright">
    <vt:lpwstr>学科网版权所有</vt:lpwstr>
  </property>
</Properties>
</file>