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CB205D3">
      <w:pPr>
        <w:wordWrap w:val="0"/>
        <w:spacing w:before="0" w:after="0" w:line="340" w:lineRule="atLeast"/>
        <w:ind w:left="0" w:right="0"/>
        <w:jc w:val="center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第一单元 探索世界与把握规律</w:t>
      </w:r>
    </w:p>
    <w:p w14:paraId="0DB155FC">
      <w:pPr>
        <w:wordWrap w:val="0"/>
        <w:spacing w:before="0" w:after="0" w:line="340" w:lineRule="atLeast"/>
        <w:ind w:left="0" w:right="0"/>
        <w:jc w:val="center"/>
        <w:textAlignment w:val="baseline"/>
        <w:rPr>
          <w:rFonts w:hint="eastAsia" w:ascii="宋体" w:hAnsi="宋体" w:eastAsia="宋体" w:cs="宋体"/>
          <w:b/>
          <w:bCs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/>
          <w:bCs/>
          <w:i w:val="0"/>
          <w:color w:val="000000"/>
          <w:kern w:val="0"/>
          <w:sz w:val="22"/>
          <w:szCs w:val="22"/>
          <w:lang/>
        </w:rPr>
        <w:t>第一课 时代精神的精华</w:t>
      </w:r>
    </w:p>
    <w:p w14:paraId="0C8EAA9A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1.马克思主义哲学是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唯物主义和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唯物主义，是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的世界观和方法论，是美好生活的向导。P1</w:t>
      </w:r>
    </w:p>
    <w:p w14:paraId="09373721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2. “现世的智慧”“文化的活的灵魂”：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P3</w:t>
      </w:r>
    </w:p>
    <w:p w14:paraId="5084A179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3.哲学智慧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于</w:t>
      </w:r>
      <w:bookmarkStart w:id="0" w:name="_GoBack"/>
      <w:bookmarkEnd w:id="0"/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人类的实践活动。P3</w:t>
      </w:r>
    </w:p>
    <w:p w14:paraId="2D835B7C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哲学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于人们在生活实践中对宇宙、人生的追问和思考。</w:t>
      </w:r>
    </w:p>
    <w:p w14:paraId="50564629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4.时代精神的精华：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P4</w:t>
      </w:r>
    </w:p>
    <w:p w14:paraId="40B6F07E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5.哲学的基本问题：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P8</w:t>
      </w:r>
    </w:p>
    <w:p w14:paraId="51049B2E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6.哲学的基本派别：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 xml:space="preserve"> P11</w:t>
      </w:r>
    </w:p>
    <w:p w14:paraId="08EB38B4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7.哲学史上的“两个对子”：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               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P11</w:t>
      </w:r>
    </w:p>
    <w:p w14:paraId="2EFACC5B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8.划分唯物主义和唯心主义的唯一标准：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P8</w:t>
      </w:r>
    </w:p>
    <w:p w14:paraId="3AF123ED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9.划分可知论与不可知论的标准：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P8</w:t>
      </w:r>
    </w:p>
    <w:p w14:paraId="75B0C935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10.贯穿哲学发展的始终，一切哲学不能回避、必须回答的问题：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P9</w:t>
      </w:r>
    </w:p>
    <w:p w14:paraId="3C822137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1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/>
        </w:rPr>
        <w:t>1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.马克思主义哲学的核心观点：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 xml:space="preserve"> P13</w:t>
      </w:r>
    </w:p>
    <w:p w14:paraId="2EF9280E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/>
        </w:rPr>
        <w:t>12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.古代朴素唯物主义把物质混同于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。</w:t>
      </w:r>
    </w:p>
    <w:p w14:paraId="7A815E40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近代形而上学唯物主义把自然科学的物质结构直接混同于物质概念，具有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、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和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等局限。</w:t>
      </w:r>
    </w:p>
    <w:p w14:paraId="284C1AF6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/>
        </w:rPr>
        <w:t>13.马克思主义哲学第一次在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/>
        </w:rPr>
        <w:t>实现了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/>
        </w:rPr>
        <w:t>与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/>
        </w:rPr>
        <w:t>的有机结合。马克思主义哲学实现了唯物辩证的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/>
        </w:rPr>
        <w:t>与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/>
        </w:rPr>
        <w:t>的统一。</w:t>
      </w:r>
    </w:p>
    <w:p w14:paraId="6669F4AB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/>
        </w:rPr>
        <w:t>马克思主义哲学实现了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/>
        </w:rPr>
        <w:t>的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性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/>
        </w:rPr>
        <w:t>和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性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val="en-US" w:eastAsia="zh-CN"/>
        </w:rPr>
        <w:t>的统一。</w:t>
      </w:r>
    </w:p>
    <w:p w14:paraId="1424AF7E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14.马克思主义哲学独特的理论品质：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P14</w:t>
      </w:r>
    </w:p>
    <w:p w14:paraId="1DDABE1F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15.马克思主义中国化的第一次历史性飞跃：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 xml:space="preserve"> P15</w:t>
      </w:r>
    </w:p>
    <w:p w14:paraId="5AD5E057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16.毛泽东思想的精髓：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 xml:space="preserve"> P15</w:t>
      </w:r>
    </w:p>
    <w:p w14:paraId="17030382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17.毛泽东思想活的灵魂：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 xml:space="preserve"> P15</w:t>
      </w:r>
    </w:p>
    <w:p w14:paraId="6F2B5BEC">
      <w:pPr>
        <w:wordWrap w:val="0"/>
        <w:spacing w:before="0" w:after="0" w:line="340" w:lineRule="atLeast"/>
        <w:ind w:left="0" w:right="4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18.当代中国马克思主义、二十一世纪马克思主义：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P16</w:t>
      </w:r>
    </w:p>
    <w:p w14:paraId="6B1CABB6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19.马克思主义哲学的历史使命：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P12</w:t>
      </w:r>
    </w:p>
    <w:p w14:paraId="21BF79E5">
      <w:pPr>
        <w:wordWrap w:val="0"/>
        <w:spacing w:before="0" w:after="0" w:line="340" w:lineRule="atLeast"/>
        <w:ind w:left="0" w:right="0"/>
        <w:jc w:val="center"/>
        <w:textAlignment w:val="baseline"/>
        <w:rPr>
          <w:rFonts w:hint="eastAsia" w:ascii="宋体" w:hAnsi="宋体" w:eastAsia="宋体" w:cs="宋体"/>
          <w:b/>
          <w:bCs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/>
          <w:bCs/>
          <w:i w:val="0"/>
          <w:color w:val="000000"/>
          <w:kern w:val="0"/>
          <w:sz w:val="22"/>
          <w:szCs w:val="22"/>
          <w:lang/>
        </w:rPr>
        <w:t>第二课 探究世界的本质</w:t>
      </w:r>
    </w:p>
    <w:p w14:paraId="15983B01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1.物质的唯一特性：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 </w:t>
      </w:r>
    </w:p>
    <w:p w14:paraId="701A58E7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物质固有的根本属性和存在方式：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P21</w:t>
      </w:r>
    </w:p>
    <w:p w14:paraId="51729F74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人的存在方式：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 xml:space="preserve"> P79</w:t>
      </w:r>
    </w:p>
    <w:p w14:paraId="489EE2D9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2.人类社会的物质性的集中体现：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          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P19</w:t>
      </w:r>
    </w:p>
    <w:p w14:paraId="22E1EEDF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3.构成社会物质生活条件的基本要素：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、         、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P19</w:t>
      </w:r>
    </w:p>
    <w:p w14:paraId="7028F119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4.意识活动的物质器官：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P20</w:t>
      </w:r>
    </w:p>
    <w:p w14:paraId="137D35C4">
      <w:pPr>
        <w:wordWrap w:val="0"/>
        <w:spacing w:before="0" w:after="0" w:line="34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5.产生意识的生理基础：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P20</w:t>
      </w:r>
    </w:p>
    <w:p w14:paraId="44D62B6B">
      <w:pPr>
        <w:wordWrap w:val="0"/>
        <w:spacing w:before="0" w:after="0" w:line="32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6.世界的真正统一性：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P21</w:t>
      </w:r>
    </w:p>
    <w:p w14:paraId="3117FEB7">
      <w:pPr>
        <w:wordWrap w:val="0"/>
        <w:spacing w:before="20" w:after="0" w:line="32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7.机械运动的载体：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 xml:space="preserve"> P22化学运动的载体：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 </w:t>
      </w:r>
    </w:p>
    <w:p w14:paraId="208C5657">
      <w:pPr>
        <w:wordWrap w:val="0"/>
        <w:spacing w:before="20" w:after="0" w:line="32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生物运动的载体：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社会运动的载体：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</w:t>
      </w:r>
    </w:p>
    <w:p w14:paraId="41A4FAF9">
      <w:pPr>
        <w:wordWrap w:val="0"/>
        <w:spacing w:before="20" w:after="0" w:line="32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思维或精神运动的载体：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</w:t>
      </w:r>
    </w:p>
    <w:p w14:paraId="6F809A8E">
      <w:pPr>
        <w:wordWrap w:val="0"/>
        <w:spacing w:before="0" w:after="0" w:line="32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8.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 w:eastAsia="zh-CN"/>
        </w:rPr>
        <w:t>规律的含义：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              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规律的特点：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 xml:space="preserve"> P23</w:t>
      </w:r>
    </w:p>
    <w:p w14:paraId="297EED67">
      <w:pPr>
        <w:wordWrap w:val="0"/>
        <w:spacing w:before="40" w:after="0" w:line="32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9.意识活动的特点：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            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 xml:space="preserve"> P23</w:t>
      </w:r>
    </w:p>
    <w:p w14:paraId="582C1C71">
      <w:pPr>
        <w:wordWrap w:val="0"/>
        <w:spacing w:before="20" w:after="0" w:line="320" w:lineRule="atLeast"/>
        <w:ind w:left="0" w:right="0"/>
        <w:jc w:val="left"/>
        <w:textAlignment w:val="baseline"/>
        <w:rPr>
          <w:rFonts w:hint="eastAsia" w:ascii="宋体" w:hAnsi="宋体" w:eastAsia="宋体" w:cs="宋体"/>
          <w:kern w:val="0"/>
          <w:sz w:val="22"/>
          <w:szCs w:val="22"/>
          <w:lang/>
        </w:rPr>
      </w:pP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>10.正确发挥主观能动性的前提条件：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u w:val="single"/>
          <w:lang w:val="en-US" w:eastAsia="zh-CN"/>
        </w:rPr>
        <w:t xml:space="preserve">             </w:t>
      </w:r>
      <w:r>
        <w:rPr>
          <w:rFonts w:hint="eastAsia" w:ascii="宋体" w:hAnsi="宋体" w:eastAsia="宋体" w:cs="宋体"/>
          <w:b w:val="0"/>
          <w:i w:val="0"/>
          <w:color w:val="000000"/>
          <w:kern w:val="0"/>
          <w:sz w:val="22"/>
          <w:szCs w:val="22"/>
          <w:lang/>
        </w:rPr>
        <w:t xml:space="preserve"> P24</w:t>
      </w:r>
    </w:p>
    <w:p w14:paraId="6FD77DFB">
      <w:pPr>
        <w:wordWrap/>
        <w:spacing w:before="0" w:after="0" w:line="380" w:lineRule="atLeast"/>
        <w:ind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</w:rPr>
      </w:pPr>
    </w:p>
    <w:p w14:paraId="010E1DB6">
      <w:pPr>
        <w:wordWrap/>
        <w:spacing w:before="0" w:after="0" w:line="380" w:lineRule="atLeast"/>
        <w:ind w:right="0"/>
        <w:jc w:val="center"/>
        <w:textAlignment w:val="baseline"/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</w:rPr>
      </w:pPr>
    </w:p>
    <w:p w14:paraId="7EFBEE88">
      <w:pPr>
        <w:wordWrap/>
        <w:spacing w:before="0" w:after="0" w:line="380" w:lineRule="atLeast"/>
        <w:ind w:right="0"/>
        <w:jc w:val="center"/>
        <w:textAlignment w:val="baseline"/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</w:rPr>
      </w:pPr>
    </w:p>
    <w:p w14:paraId="1A5D5CB4">
      <w:pPr>
        <w:wordWrap/>
        <w:spacing w:before="0" w:after="0" w:line="380" w:lineRule="atLeast"/>
        <w:ind w:right="0"/>
        <w:jc w:val="center"/>
        <w:textAlignment w:val="baseline"/>
        <w:rPr>
          <w:rFonts w:hint="eastAsia" w:ascii="黑体" w:hAnsi="黑体" w:eastAsia="黑体" w:cs="黑体"/>
          <w:b/>
          <w:bCs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i w:val="0"/>
          <w:color w:val="000000"/>
          <w:sz w:val="28"/>
          <w:szCs w:val="28"/>
        </w:rPr>
        <w:t>第二框  运动的规律性 P21</w:t>
      </w:r>
    </w:p>
    <w:p w14:paraId="2B00DF16">
      <w:pPr>
        <w:wordWrap/>
        <w:spacing w:before="0" w:after="0" w:line="320" w:lineRule="atLeast"/>
        <w:ind w:right="0"/>
        <w:jc w:val="left"/>
        <w:textAlignment w:val="baseline"/>
        <w:rPr>
          <w:rFonts w:hint="eastAsia" w:ascii="宋体" w:hAnsi="宋体" w:eastAsia="宋体" w:cs="宋体"/>
          <w:b/>
          <w:bCs/>
          <w:sz w:val="22"/>
          <w:szCs w:val="22"/>
        </w:rPr>
      </w:pPr>
      <w:r>
        <w:rPr>
          <w:rFonts w:hint="eastAsia" w:ascii="宋体" w:hAnsi="宋体" w:eastAsia="宋体" w:cs="宋体"/>
          <w:b/>
          <w:bCs/>
          <w:i w:val="0"/>
          <w:color w:val="000000"/>
          <w:sz w:val="22"/>
          <w:szCs w:val="22"/>
        </w:rPr>
        <w:t>第一目 规律是客观的P21</w:t>
      </w:r>
    </w:p>
    <w:p w14:paraId="4FA7DC6E">
      <w:pPr>
        <w:numPr>
          <w:ilvl w:val="0"/>
          <w:numId w:val="1"/>
        </w:numPr>
        <w:wordWrap/>
        <w:spacing w:before="0" w:after="0" w:line="320" w:lineRule="atLeast"/>
        <w:ind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</w:rPr>
        <w:t>物质和运动的辩证关系</w:t>
      </w:r>
    </w:p>
    <w:p w14:paraId="0D93FCA6">
      <w:pPr>
        <w:numPr>
          <w:ilvl w:val="0"/>
          <w:numId w:val="1"/>
        </w:numPr>
        <w:wordWrap/>
        <w:spacing w:before="0" w:after="0" w:line="320" w:lineRule="atLeast"/>
        <w:ind w:left="0" w:leftChars="0" w:right="0" w:firstLine="0" w:firstLineChars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</w:rPr>
        <w:t>规律</w:t>
      </w:r>
    </w:p>
    <w:p w14:paraId="1120D121">
      <w:pPr>
        <w:wordWrap/>
        <w:spacing w:before="0" w:after="0" w:line="320" w:lineRule="atLeast"/>
        <w:ind w:right="0"/>
        <w:jc w:val="left"/>
        <w:textAlignment w:val="baseline"/>
        <w:rPr>
          <w:rFonts w:hint="eastAsia" w:ascii="宋体" w:hAnsi="宋体" w:eastAsia="宋体" w:cs="宋体"/>
          <w:b/>
          <w:bCs/>
          <w:sz w:val="21"/>
          <w:szCs w:val="21"/>
        </w:rPr>
      </w:pPr>
      <w:r>
        <w:rPr>
          <w:rFonts w:hint="eastAsia" w:ascii="宋体" w:hAnsi="宋体" w:eastAsia="宋体" w:cs="宋体"/>
          <w:b/>
          <w:bCs/>
          <w:i w:val="0"/>
          <w:color w:val="000000"/>
          <w:sz w:val="22"/>
          <w:szCs w:val="22"/>
        </w:rPr>
        <w:t>第二目 正确发挥主观能动性 P23</w:t>
      </w:r>
    </w:p>
    <w:p w14:paraId="78FC6F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ind w:right="0"/>
        <w:jc w:val="left"/>
        <w:textAlignment w:val="baseline"/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</w:rPr>
        <w:t>①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                                                         </w:t>
      </w:r>
    </w:p>
    <w:p w14:paraId="22FB29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ind w:right="0"/>
        <w:jc w:val="left"/>
        <w:textAlignment w:val="baseline"/>
        <w:rPr>
          <w:rFonts w:hint="eastAsia" w:ascii="宋体" w:hAnsi="宋体" w:eastAsia="宋体" w:cs="宋体"/>
          <w:sz w:val="22"/>
          <w:szCs w:val="2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</w:rPr>
        <w:t>②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                                                         </w:t>
      </w:r>
    </w:p>
    <w:p w14:paraId="0A2FE2D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ind w:right="160"/>
        <w:jc w:val="left"/>
        <w:textAlignment w:val="baseline"/>
        <w:rPr>
          <w:rFonts w:hint="eastAsia" w:ascii="宋体" w:hAnsi="宋体" w:eastAsia="宋体" w:cs="宋体"/>
          <w:sz w:val="22"/>
          <w:szCs w:val="2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</w:rPr>
        <w:t>③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                                                         </w:t>
      </w:r>
    </w:p>
    <w:p w14:paraId="2F3ACE4D">
      <w:pPr>
        <w:wordWrap/>
        <w:spacing w:before="0" w:after="0" w:line="320" w:lineRule="atLeast"/>
        <w:ind w:right="0"/>
        <w:jc w:val="left"/>
        <w:textAlignment w:val="baseline"/>
        <w:rPr>
          <w:rFonts w:hint="eastAsia" w:ascii="宋体" w:hAnsi="宋体" w:eastAsia="宋体" w:cs="宋体"/>
          <w:b/>
          <w:bCs/>
          <w:sz w:val="22"/>
          <w:szCs w:val="22"/>
        </w:rPr>
      </w:pPr>
      <w:r>
        <w:rPr>
          <w:rFonts w:hint="eastAsia" w:ascii="宋体" w:hAnsi="宋体" w:eastAsia="宋体" w:cs="宋体"/>
          <w:b/>
          <w:bCs/>
          <w:i w:val="0"/>
          <w:color w:val="000000"/>
          <w:sz w:val="22"/>
          <w:szCs w:val="22"/>
        </w:rPr>
        <w:t>第三目  一切从实际出发，实事求是P24</w:t>
      </w:r>
    </w:p>
    <w:p w14:paraId="0419AB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ind w:right="140"/>
        <w:jc w:val="left"/>
        <w:textAlignment w:val="baseline"/>
        <w:rPr>
          <w:rFonts w:hint="eastAsia" w:ascii="宋体" w:hAnsi="宋体" w:eastAsia="宋体" w:cs="宋体"/>
          <w:sz w:val="22"/>
          <w:szCs w:val="2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</w:rPr>
        <w:t>①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                                                                                         </w:t>
      </w:r>
    </w:p>
    <w:p w14:paraId="27110A5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ind w:right="140"/>
        <w:jc w:val="left"/>
        <w:textAlignment w:val="baseline"/>
        <w:rPr>
          <w:rFonts w:hint="eastAsia" w:ascii="宋体" w:hAnsi="宋体" w:eastAsia="宋体" w:cs="宋体"/>
          <w:sz w:val="22"/>
          <w:szCs w:val="2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</w:rPr>
        <w:t>②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                                                                                               </w:t>
      </w:r>
    </w:p>
    <w:p w14:paraId="161FD80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ind w:right="120"/>
        <w:jc w:val="left"/>
        <w:textAlignment w:val="baseline"/>
        <w:rPr>
          <w:rFonts w:hint="eastAsia" w:ascii="宋体" w:hAnsi="宋体" w:eastAsia="宋体" w:cs="宋体"/>
          <w:sz w:val="22"/>
          <w:szCs w:val="2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</w:rPr>
        <w:t>③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                                                                                </w:t>
      </w:r>
    </w:p>
    <w:p w14:paraId="55BA4F8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360" w:lineRule="auto"/>
        <w:ind w:right="100"/>
        <w:jc w:val="left"/>
        <w:textAlignment w:val="baseline"/>
        <w:rPr>
          <w:rFonts w:hint="eastAsia" w:ascii="宋体" w:hAnsi="宋体" w:eastAsia="宋体" w:cs="宋体"/>
          <w:sz w:val="22"/>
          <w:szCs w:val="22"/>
          <w:u w:val="single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</w:rPr>
        <w:t>④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                                                                                   </w:t>
      </w:r>
    </w:p>
    <w:sectPr>
      <w:pgSz w:w="11906" w:h="16838"/>
      <w:pgMar w:top="930" w:right="1406" w:bottom="930" w:left="140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B4AB817"/>
    <w:multiLevelType w:val="singleLevel"/>
    <w:tmpl w:val="EB4AB817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AFA7387"/>
    <w:rsid w:val="19B9035B"/>
    <w:rsid w:val="242B4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2024-12-09T07:43:49Z</dcterms:created>
  <dc:creator>lyz</dc:creator>
  <cp:lastModifiedBy>lyz</cp:lastModifiedBy>
  <dcterms:modified xsi:type="dcterms:W3CDTF">2024-12-09T07:53:27Z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1126277C63AB4AA88E81E0445686CC0F_12</vt:lpwstr>
  </property>
</Properties>
</file>