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1.webp" ContentType="image/webp"/>
  <Override PartName="/word/media/image2.webp" ContentType="image/webp"/>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02F96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bdr w:val="none" w:color="auto" w:sz="0" w:space="0"/>
        </w:rPr>
        <w:t>作</w:t>
      </w:r>
    </w:p>
    <w:p w14:paraId="492412E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bdr w:val="none" w:color="auto" w:sz="0" w:space="0"/>
        </w:rPr>
        <w:t>者</w:t>
      </w:r>
    </w:p>
    <w:p w14:paraId="080FBF1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rStyle w:val="5"/>
          <w:bdr w:val="none" w:color="auto" w:sz="0" w:space="0"/>
        </w:rPr>
        <w:t>黄杏婵</w:t>
      </w:r>
    </w:p>
    <w:p w14:paraId="5B86B59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中学高级教师，广东省佛山市南海区石门中学历史教师。</w:t>
      </w:r>
    </w:p>
    <w:p w14:paraId="62435AA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ascii="Microsoft YaHei UI" w:hAnsi="Microsoft YaHei UI" w:eastAsia="Microsoft YaHei UI" w:cs="Microsoft YaHei UI"/>
          <w:i w:val="0"/>
          <w:iCs w:val="0"/>
          <w:caps w:val="0"/>
          <w:color w:val="3E3E3E"/>
          <w:spacing w:val="8"/>
          <w:sz w:val="24"/>
          <w:szCs w:val="24"/>
        </w:rPr>
      </w:pPr>
    </w:p>
    <w:p w14:paraId="3D1C837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教材是教师教学和学生学习最重要的依托，对教材文本进行充分解读本是落实新课程改革的必要前提。然而笔者从上一轮课程改革开始参加工作，受当时教材“一纲多本”的影响，对教材文本的解读重视不足，常常沉浸于课外资源而忘了本，导致后来面对叙述简约而不简单的新教材时颇感挑战。相信不少老师都有着同样的困惑。笔者现在已经进入新教材教学的第二个循环，拟就此前实践的一些经验教训，借助“历史叙事”的相关理论，尝试提出一个比较简明扼要的教材文本解读框架，还望得到同行同道的批评指正。</w:t>
      </w:r>
    </w:p>
    <w:p w14:paraId="1F67D9E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20世纪六七十年代以来，人们对历史学的认识渐趋理性，“历史叙事无分析则空，历史分析无叙事则盲”，需要把两者结合起来。而中学历史教科书正是以叙事和分析相结合为特征的文本，借助叙事主义史学理论可以较好地帮助一线教师对其进行充分的解读和利用。</w:t>
      </w:r>
    </w:p>
    <w:p w14:paraId="103112E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bdr w:val="none" w:color="auto" w:sz="0" w:space="0"/>
        </w:rPr>
        <w:t>一、基于历史叙事的教材文本</w:t>
      </w:r>
    </w:p>
    <w:p w14:paraId="1A48F86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bdr w:val="none" w:color="auto" w:sz="0" w:space="0"/>
        </w:rPr>
        <w:t>解读框架</w:t>
      </w:r>
    </w:p>
    <w:p w14:paraId="2CCD07C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在叙事学界，对叙事的层次有两分法和三分法之分。本文汲取了两种划分法之所长，并根据中学历史教学实际，借鉴学术界的研究成果，构建出以下教材文本解读框架。</w:t>
      </w:r>
    </w:p>
    <w:p w14:paraId="4DAC1B97">
      <w:pPr>
        <w:keepNext w:val="0"/>
        <w:keepLines w:val="0"/>
        <w:widowControl/>
        <w:suppressLineNumbers w:val="0"/>
        <w:jc w:val="left"/>
      </w:pPr>
      <w:r>
        <w:rPr>
          <w:rFonts w:ascii="宋体" w:hAnsi="宋体" w:eastAsia="宋体" w:cs="宋体"/>
          <w:kern w:val="0"/>
          <w:sz w:val="24"/>
          <w:szCs w:val="24"/>
          <w:bdr w:val="none" w:color="auto" w:sz="0" w:space="0"/>
          <w:lang w:val="en-US" w:eastAsia="zh-CN" w:bidi="ar"/>
        </w:rPr>
        <w:drawing>
          <wp:inline distT="0" distB="0" distL="114300" distR="114300">
            <wp:extent cx="7439025" cy="4371975"/>
            <wp:effectExtent l="0" t="0" r="9525" b="9525"/>
            <wp:docPr id="3"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IMG_256"/>
                    <pic:cNvPicPr>
                      <a:picLocks noChangeAspect="1"/>
                    </pic:cNvPicPr>
                  </pic:nvPicPr>
                  <pic:blipFill>
                    <a:blip r:embed="rId4"/>
                    <a:stretch>
                      <a:fillRect/>
                    </a:stretch>
                  </pic:blipFill>
                  <pic:spPr>
                    <a:xfrm>
                      <a:off x="0" y="0"/>
                      <a:ext cx="7439025" cy="4371975"/>
                    </a:xfrm>
                    <a:prstGeom prst="rect">
                      <a:avLst/>
                    </a:prstGeom>
                    <a:noFill/>
                    <a:ln w="9525">
                      <a:noFill/>
                    </a:ln>
                  </pic:spPr>
                </pic:pic>
              </a:graphicData>
            </a:graphic>
          </wp:inline>
        </w:drawing>
      </w:r>
    </w:p>
    <w:p w14:paraId="73A62F0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14:paraId="043B4B1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解读框架由三个层次组成，分别为解读依据、解读内容和解读目标。</w:t>
      </w:r>
    </w:p>
    <w:p w14:paraId="59EFD08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第一层“解读依据”主要包括三个方面：课程标准、史学背景、初高衔接、学情分析。首先，具体文本如何与课标要求对接有待教师深入挖掘。其次，教材文本中的史学背景和课标要求之间的度如何把握，也是我们解读文本时要注意的问题。再次，与初高中教材文本进行对比，注意两者之间的衔接也是解读的重要前提，既要避免重复，又要避免脱节。最后，一线教师解读教材文本旨在服务于其实际教学，因此学情分析也是解读的必要依据。</w:t>
      </w:r>
    </w:p>
    <w:p w14:paraId="72AD7B2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第二层“解读内容”由“故事+话语”两大部分组成。“故事”是指教材文本叙述了什么，包括事件、人物和背景等，其核心问题是选择了哪些事件和如何组织这些事件。这里的事件既包括正文里面的史实，也包括辅助栏目中的所有图文材料。我们首先要对教材的每一个史实（图文材料）进行逐一分析，思考编者为什么要选择这些事件。这个问题乍看上去似乎有点多余，历史教材上的史实大多都是老师们耳熟能详的，乃至默认它们理所应当就应该出现在上面。但叙事主义历史哲学提醒我们：“同样的事实陈述，出现在有关同一历史论题的不同历史文本中， 完全可能具有不同的重要性和不同的蕴含。”因此，对教材文本中出现的每个历史事件进行逐一分析，明确其定位是非常必要的。接下来再分析这些事件是如何组织的。叙事学中的“叙事”所涉及的“事”并不是一件简单的事情，而至少叙述两件以上因果相连的事件，这样才能构成意义传达。作为一线教师，笔者深深地感受到“把握单一事件对教师而言相对难度较低，然而在文本表征之下把握史事之深层联系却为解读教材文本之一大难点”。因此，事件之间的逻辑关系是解读教材的关键突破点。通常一课文本里面包含了若干个子目，应先分析每个子目内部事件的逻辑关系，再分析子目之间以及子目与课文标题之间的逻辑关系。</w:t>
      </w:r>
    </w:p>
    <w:p w14:paraId="737014D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中外历史纲要》（以下简称《纲要》）与初中教材详细具体的叙述不同，“更注重概括性与分析性”。教材文本微言大义，需要我们细细品味叙述者遣词造句的背后有何深意。有两个问题要注意：第一，无论是《纲要》还是选必都采取了通史和专题史相结合的叙述方式，即叙述的时序与专题内容可能存在交错，在解读时要具体问题具体分析。第二，叙述顺序还包括空间转移，对于地大物博、各地差异明显的中国而言，空间变换背后反映的问题也值得我们深思。叙述视角有多种，教材一般采取的是“选择性全知视角”，所谓“全知”即叙述者处于故事之外，可从任何角度来观察事件；所谓“选择性全知视角”是叙述者选择限制自己的观察范围，往往仅从一两个少数角度来观察事件，比如某一主体（国家整体或某个群体）、某一领域（政治、经济、文化等）、某一时空（事件当时或后世等）。《纲要》和选必、高中和初中有部分史实是重叠的，但角度不同。这都需要我们仔细分析文本选择了哪一角度，这种角度有何优点与局限、实际教学是否需要补充其他角度。</w:t>
      </w:r>
    </w:p>
    <w:p w14:paraId="1B9CF6E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在实际解读过程中，很难把故事和话语严格区分开来，比如单一事件和历史概念会重复，叙述顺序与逻辑有所交叉，事件选择与叙述视角密切相关。“叙事作品的意义在很大程度上源于这两个层次（故事和话语）之间的相互作用。”解读依据也要融入故事与话语的分析中。在理论上进行区分是为了提高运用自觉。</w:t>
      </w:r>
    </w:p>
    <w:p w14:paraId="4C44B13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第三层为解读目标，即通过解读教材文本构建叙事的整体意义。一线教师正是依据课程标准、史学背景、初高对比和学情分析，解读教材中的每一单个事件以及事件之间的多层逻辑关系，挖掘文本遣词造句背后的深意、梳理文本的叙述顺序、明确并反思叙述的视角，形成了对叙事整体意义的理解和认识。“构建叙事的整体意义”，转换成教学话语，即“构建本课的内容主旨”。内容主旨是“指通过该单元或课的学习，学生获得的不仅能统摄、贯通该单元或课，而且能与其前后学习相通的核心观点”，而“任何对于（核心观点）课程内容主旨的表达，其背后一定蕴含着史学思想方法和价值观念”，即历史学科核心素养。因此，核心观点的把握有助于学生实现知识、能力和价值观的结构化，对历史形成“通感”，从而达成从整体把握历史发展大势的课标要求。之所以用“构建”一词，是因为意义之于不同的人具有不同的内涵：“课程内容主旨的把握严格意义上没有绝对的标准答案，最多只在基于课程标准的‘基本要求’上具有一致性。就高中历史教学而言，也会因学生思维品质的高低、兴趣视野的变化而有所不同。”这就为一线教师发挥教学的主观能动性提供了空间。这也是本框架的提出的意义所指。</w:t>
      </w:r>
    </w:p>
    <w:p w14:paraId="32394AC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下面结合“从明朝建立到清军入关”一课，谈谈如何运用本框架。这是《纲要（上）》的第12课，也是第四单元“明清中国版图的奠定与面临的挑战”的开篇。课标对整个单元的要求是“通过了解明清时期统一全国和经略边疆的相关举措，知道南海诸岛、台湾及其包括钓鱼岛在内的附属岛屿是中国版图一部分，认识这一时期统一多民族国家版图奠定的重要意义；了解明清时期社会经济、思想文化的重要变化；通过了解明清时期封建专制的发展、世界的变化对中国的影响，认识中国社会面临的危机”。其中第二点“明清时期社会经济、思想文化的重要变化”在第14课专门讲述，所以和本课对应的是第一和第二点要求。但现代中国版图的奠定主要在清朝，由世界变化冲击内部而形成的危机也是在清朝更明显，因此这一课就显得有点“尴尬”。但这也为我们研究本课的定位和如何解读教材文本提供了较大的探讨空间，笔者尝试抛砖引玉。</w:t>
      </w:r>
    </w:p>
    <w:p w14:paraId="67D3460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bdr w:val="none" w:color="auto" w:sz="0" w:space="0"/>
        </w:rPr>
        <w:t>二、基于历史叙事的教材文本</w:t>
      </w:r>
    </w:p>
    <w:p w14:paraId="5634E6E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bdr w:val="none" w:color="auto" w:sz="0" w:space="0"/>
        </w:rPr>
        <w:t>解读框架的运用</w:t>
      </w:r>
    </w:p>
    <w:p w14:paraId="004D794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rStyle w:val="5"/>
          <w:bdr w:val="none" w:color="auto" w:sz="0" w:space="0"/>
        </w:rPr>
        <w:t>（一）根据“解读依据”，结合“话语”，解读“故事”</w:t>
      </w:r>
    </w:p>
    <w:p w14:paraId="2E02B8D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1.对事件选择的解读</w:t>
      </w:r>
    </w:p>
    <w:p w14:paraId="08D61BE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本课叙述了众多历史事件，由于篇幅所限，选取其中两件具有代表性的进行解读。</w:t>
      </w:r>
    </w:p>
    <w:p w14:paraId="392E7D3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（1）解读课文导入</w:t>
      </w:r>
    </w:p>
    <w:p w14:paraId="77C8AB8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本课以朱元璋的出身作为叙事的开头有何深意？关于明朝建立的背景大可以讲朱元璋如何起兵反元以及最后打败张士诚等势力的精彩故事，但为何明朝这一课却要特别强调开国者的出身呢？《教师教学用书》指出：“朱元璋出身底层而成为统一王朝开国君主，这样的经历在中外历史上都是罕见的。”仅仅是因为罕见就要讲述吗？我们应该进一步思考，这个史实与本课的核心目标“通过了解明清时期封建专制的发展、世界的变化对中国的影响，认识中国社会面临的危机”之间有何关系。明朝废除宰相制度，专制制度高度发展，对历史产生了深远的影响。这一重大制度转变固然有前朝制度影响等客观因素，但不可否认的是，与朱元璋的个人认知及性格特征也有着密切关系。“朱元璋少年时期颠沛流离、朝不保夕的生活，对他的性格造成了很大影响，使其内心深处一直缺乏足够的安全感。这种性格缺陷长期影响了他的人生观念，在很大程度上形塑了他的从军道路和开国施政的思路。”因此，在教学中，老师可从朱元璋的出身作为课堂叙事的开始，简单讲述其建立明朝的经过，然后通过胡惟庸案和蓝玉案分析其性格，再自然过渡到宰相制度的废除。</w:t>
      </w:r>
    </w:p>
    <w:p w14:paraId="08B7988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明太祖制定了一系列的规章制度，上至治国方略，下至管理皇室内部事务的细则，十分详尽，并编写成《皇明祖训》，要求子孙后代严格执行。这些制度都深刻地改变了此后中国历史的发展进程。但非常有趣的是，随着历史的发展，许多“祖制”都遭到了“背叛”，如明太祖严格防范宦官干政，但明朝中后期宦官不仅干政，还逐渐走向制度化，其背后的逻辑是制约废除丞相后逐渐膨胀的内阁和文官，本质是专制皇权加强的体现；还有严厉的海禁政策到了隆庆年间也被迫调整，政府开放海禁，促使大量白银流入中国，引发明后期社会一系列的深刻变化；明太祖致力于修筑长城防御体系，但明朝最终灭亡于长城边疆的叛乱者——陕北军民和女真部族。这些内容和本课教学内容高度契合，教师可以利用这种历史反差创设认知冲突的学习情境——“朱元璋的顶层设计与‘反’设计”，并把它作为本课的明线来串联一课的学习。这也体现了历史叙事的特征——围绕人物讲故事。</w:t>
      </w:r>
    </w:p>
    <w:p w14:paraId="257D51E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（2）解读郑和下西洋</w:t>
      </w:r>
    </w:p>
    <w:p w14:paraId="3837999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郑和下西洋这个史实，有老师将其放在永乐盛世中解读，定位为明朝的“兴”。然而，这种传统王朝兴衰视角的解读似乎脱离了课标和课本的原意。与初中只是单方面赞扬郑和七下西洋不同，高中教材文本还增加了这样的分析：“但是，其目的主要是‘耀兵异域，示中国富强’，给明朝带来较大的财政负担，因此后来未能持续。”这是整篇课文本中为数不多的分析，属于史论，可见这是编者要刻意突出的问题。而且，正文旁边还有一个思考点：“应当如何看待明朝统治者‘下西洋’政策的变化？”很显然，对郑和下西洋这一事实解读的重点应该是：以宣扬国威为目的的海洋活动和厚往薄来的朝贡贸易增加了国家的财政负担，背离了发展海洋贸易的世界潮流，为此后中西差距的拉大埋下了伏笔。这样的解读就较好地落实了课标的要求——认识中国社会面临的危机。“明朝与以往中国的任何朝代，都有所不同，明朝已不再仅属于中国，还属于世界。近代世界的暴风骤雨，已经开始冲刷这个古老的文明。”郑和下西洋这个史实，初中和高中都放在对外关系的论题下讲述，但将其置于传统中国和近代世界两个不同的时空框架（视角）下进行解读，结论大有不同。这就是叙事主义哲学强调的，“同样的事实陈述，出现在有关同一历史论题的不同历史文本中，完全可能具有不同的重要性和不同的蕴含”。这就提醒我们越熟悉的历史事件越是要深入思考编者是出于什么目的而选择了它。</w:t>
      </w:r>
    </w:p>
    <w:p w14:paraId="33E7089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2.对事件组织的解读</w:t>
      </w:r>
    </w:p>
    <w:p w14:paraId="0ED38B8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（1）解读每个子目内部事件的逻辑关系</w:t>
      </w:r>
    </w:p>
    <w:p w14:paraId="67A21B9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本课包含了三个子目标题，分别是“明朝政治制度的变化”“海上交通与沿海形势”和“内陆边疆与明清易代”。“明朝政治制度的变化”按照时序叙述了废除丞相制度、内阁制度的形成和宦官专权局面的出现三个史实／现象，呈现出明显的因果关系，环环相扣，与课标“了解明清时期封建专制的发展”直接对应；“内陆边疆与明清易代”按照空间介绍了明朝经略北方、乌思藏和东北边疆的史实，呈现出明显的并列关系，把北方放在首位是因为其地位最重要，把东北放在最后是为了顺利过渡到明清易代，这一子目与课标“了解明清时期统一全国和经略边疆的相关举措”相对应。以上两个子目的内部逻辑关系及其与课标的联系，老师们都相对容易把握。而“海上交通与沿海形势”子目下叙述了郑和下西洋、平定倭寇和欧洲殖民者东来三个史实，平定倭寇从元末明初开始叙述，时间上与郑和下西洋有交错；三个事件表面看也无明显关联，相对独立；教材关于平定倭寇的叙述“话语”似乎也难与课标“通过了解世界的变化对中国的影响，认识中国社会面临的危机”相对应。</w:t>
      </w:r>
    </w:p>
    <w:p w14:paraId="7882643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教材文本叙述如下：“从元朝末年起，日本海盗不时在我国东部沿海骚扰，被称为‘倭寇’。明朝前期，朝廷出于对日本实行经济封锁的目的，严厉禁止海外贸易。东南沿海地区的一些海盗、奸商等与倭寇勾结，进行走私活动，出没沿海，烧杀抢掠，造成巨大破坏。明廷派遣大将戚继光等人平倭。在抗倭斗争中，戚继光率领戚家军，在浙江台州九战九捷；在福建、广州与抗倭将领俞大猷合作，连续重创倭寇，东南沿海形势稳定下来，朝廷遂放松了对私人海外贸易的限制。民族英雄戚继光的抗倭事迹被后世所传颂。”本故事以倭寇骚扰为开头，中间艰苦的斗争是故事的高潮，最后落脚于民族英雄事迹的传颂，是一个明显的正邪对立叙事模式。最后正义取胜，似乎看不出“危机”何在。政府是出于维护国家安全和保障人民生命财产的正义目的才不得不实施海禁，而且后面也放松了对私人海外贸易的限制，好像也无法体现单元导言中的“统治者故步自封，拒绝扩大对外交往，进一步扼杀了中国跟上世界潮流的机会”的结论。换一个角度，如果说这个结论主要针对的是清朝，那么“平定倭寇”这个事件和“海上交通和沿海形势”这个子目乃至整一课的内容主旨该如何定位？这就是前文所说的尴尬之处。但再仔细研读文本，我们可以发现两处“玄机”：首先，与初中教材单纯叙述抗倭对比，高中增加了“海禁”这一背景以及开放海禁这一史实。其次，在遣词造句上，第一句明确了倭寇的定义为日本海盗；第三句说“东南沿海地区的一些海盗、奸商等与倭寇勾结”，教材编者指出本课的学习重点是明朝复杂的外部环境。笔者查阅了相关文献，梳理了明朝海禁政策、倭患问题和朝贡制度之间的复杂关系。</w:t>
      </w:r>
    </w:p>
    <w:p w14:paraId="6F84F62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明初，出于打击张士诚等敌对势力和防范倭寇，明太祖开始实施严厉的海禁政策，同时大力发展朝贡制度，把所有的对外贸易都纳入官方控制中。后来的郑和下西洋其实也是朝贡制度的一种体现，即明廷“主动出行把朝贡关系延伸到了‘海外诸番国’的身边，郑和作为使节，代表皇帝接受当地君王的朝贡，并且代表皇帝把大量礼品回赐给那里的君王。不过是改变了朝贡的地点与形式而已，朝贡的本质并没有变”。后来，虽然统治秩序逐渐稳定下来，但明廷认为朝贡贸易已经回应了诸藩对中国商品的需求，海禁政策也就没有调整的必要，反而成为必谨恪遵的祖法。但被官方严格控制的朝贡贸易远远满足不了民间贸易的需求，尤其是影响了沿海百姓的生计，于是部分中国商人就铤而走险与倭寇合流走私。到了明世宗嘉靖时期（1522—1566），由新航路开辟带来的海外贸易需求的增长与海禁政策之间的矛盾就越发尖锐了。另一方面，嘉靖二年（1523）日本贡使在宁波引发“争贡事件”，明廷下令废除浙闽市舶司，仅留广东市舶司一处，明朝与日本的官方贸易途径断绝。这样，就进一步刺激了海盗、商人和倭寇的走私活动。因此，嘉靖时期的所谓“倭患”问题与元末明初不同，其成分十分复杂，有真倭，也有“假倭”（即中国海盗和商人），还混杂着西方殖民者（葡萄牙人一边参与走私，一边给海盗提供新式火器），其性质亦商亦盗，其形成背景主要是明朝严厉的海禁政策与世界贸易发展潮流相背离。在倭患屡禁不止、劳民伤财的情况下，明廷才逐渐认识到“市通则寇转而为商，市禁则商转而为寇”，于是被迫调整政策，1567年开放海禁，史称“隆庆开关”，倭患问题得以最终解决。</w:t>
      </w:r>
    </w:p>
    <w:p w14:paraId="6F5092D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在理清了以上背景后，我们可以发现教材文本的叙述视角：从主体来看，以明朝政府视角为主；从事件性质来看，以打击侵略的政治视角为主。那么教师就可以根据学情需要补充沿海百姓、日本、西方殖民者等多方视角和经济视角。总之，把平定倭患放到新航路开辟、世界贸易发展和东亚秩序变迁的大时代背景下对考察，有利于让学生理解明朝的对外政策虽然在一定程度上维护了国家安全，但背离了近代世界发展潮流，为近代中国的落后挨打埋下了伏笔。</w:t>
      </w:r>
    </w:p>
    <w:p w14:paraId="489F57F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这一子目三个事件的内部逻辑关系就可围绕“朝贡贸易和海禁政策”来展开，梳理其建立、发展、遭遇挑战和调整的过程。</w:t>
      </w:r>
    </w:p>
    <w:p w14:paraId="67153712">
      <w:pPr>
        <w:keepNext w:val="0"/>
        <w:keepLines w:val="0"/>
        <w:widowControl/>
        <w:suppressLineNumbers w:val="0"/>
        <w:jc w:val="left"/>
      </w:pPr>
      <w:r>
        <w:rPr>
          <w:rFonts w:ascii="宋体" w:hAnsi="宋体" w:eastAsia="宋体" w:cs="宋体"/>
          <w:kern w:val="0"/>
          <w:sz w:val="24"/>
          <w:szCs w:val="24"/>
          <w:bdr w:val="none" w:color="auto" w:sz="0" w:space="0"/>
          <w:lang w:val="en-US" w:eastAsia="zh-CN" w:bidi="ar"/>
        </w:rPr>
        <w:drawing>
          <wp:inline distT="0" distB="0" distL="114300" distR="114300">
            <wp:extent cx="7048500" cy="3009900"/>
            <wp:effectExtent l="0" t="0" r="0" b="0"/>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5"/>
                    <a:stretch>
                      <a:fillRect/>
                    </a:stretch>
                  </pic:blipFill>
                  <pic:spPr>
                    <a:xfrm>
                      <a:off x="0" y="0"/>
                      <a:ext cx="7048500" cy="3009900"/>
                    </a:xfrm>
                    <a:prstGeom prst="rect">
                      <a:avLst/>
                    </a:prstGeom>
                    <a:noFill/>
                    <a:ln w="9525">
                      <a:noFill/>
                    </a:ln>
                  </pic:spPr>
                </pic:pic>
              </a:graphicData>
            </a:graphic>
          </wp:inline>
        </w:drawing>
      </w:r>
    </w:p>
    <w:p w14:paraId="5103B17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（2）解读三个子目标题及与课文标题之间的逻辑关系</w:t>
      </w:r>
    </w:p>
    <w:p w14:paraId="6F4A192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沿着第二子目深入分析，我们可以发现朝贡贸易、海禁政策与专制制度有密切关系。朝贡制度之下，“所有的对外关系都是臣民与君主的关系，强调所有的礼物都是送给中国皇帝的贡品，皇帝送出的礼物则被看做居高临下的皇帝赐给臣服的统治者的礼物”。厚往薄来的朝贡贸易原则就是明太祖确立的。朝贡制度的本质是专制等级制度由内而外的一种延伸。明朝的朝贡国多达上百个，为历朝之最。“万国来朝”的“盛世”局面极大地满足了统治者天朝上国的虚荣心。前文已述，当统治稳固下来后，明廷并没有调整海禁政策，忽视了沿海百姓的生计和民众的诉求，百姓越反抗就越是以维护治安的理由加以打压，海禁政策就愈发严厉。这是一种明显的政治控制思维，而非与民分利的经济发展思维，本质上反映了唯我独尊的专制帝王心理。因此，实行海禁和发展朝贡制度实质是一体两面，对内打压了流动性强、难以管制的私人贸易，巩固了专制统治秩序；对外，展示了“泱泱大国”的风范，彰显了专制王朝统治的合法性，这可谓专制制度高度强化下的必然选择。这样，第一子目和第二子目的逻辑关系就清晰了：一方面，专制皇权的加强为对外活动提供了强有力的支持（如郑和七下西洋的壮举）、为打击侵略维护国家安全提供了保障（如平定倭患）、也为经略内陆边疆提供了制度基础；但另一方面，专制皇权的加强沉重地打击了私人商业的发展，也使统治者沉溺于天朝上国的迷梦中，拒绝扩大对外的经济交往，进一步扼杀了中国跟上世界潮流的机会。</w:t>
      </w:r>
    </w:p>
    <w:p w14:paraId="5B126F0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沿着第一、二子目继续往下分析第三子目，海疆和陆疆有两层逻辑关系需要梳通。</w:t>
      </w:r>
    </w:p>
    <w:p w14:paraId="1723BCA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第一，明朝对海疆问题处理不当，除了专制傲慢之外，还有一个重要原因，就是在当时看来，北方陆疆的边防压力更大更直接。有明一代，重视陆疆是明朝对外政策的核心。但十分有趣的是，仔细斟酌第三子目的第一段文本叙述并结合相关历史背景，我们可以发现陆疆问题产生的背景与海疆有相似之处，而明廷处理陆疆问题的思路、事件的后续走向乃至最后的解决与海疆也如出一辙。教材的叙述如下：“元朝灭亡后，草原上的蒙古人逐渐形成鞑靼、瓦剌两大集团。为防御他们南下，明朝重新修筑了长城。明中期，瓦剌和鞑靼不断威胁明朝北部边防，两次突破长城深入内地，包围北京。瓦剌还曾经在一次战役中俘虏了明英宗。1571年，鞑靼首领俺答汗与明朝订立和议，接受明朝册封。双方恢复并扩大贸易关系，直到明末基本上维持了和平局面。”这段文本叙述虽然没有直接的史论分析，但其实已经暗含了历史解释，即明朝主要以修筑长城作为防御手段，前期虽取得一定成效，但并不真正成功，两次被蒙古突破；后来双方合议，恢复并扩大贸易才维持了长期的和平。陆疆和海疆问题产生的背景固然首先是蒙古、日本内乱主动侵扰明朝，但与沿海百姓一样，蒙古部族同样有扩大贸易的需求，“俺答汗南扰并无灭亡明朝的企图，主要是出于经济目的，希望通过战争掠夺财物，并逼迫明朝扩大贸易往来”，从嘉靖十三年（1534）开始，俺答汗向明朝发起猛烈的求贡攻势；然而与海禁一样，明廷由于体制僵化以及害怕土木之变重演等原因，对俺答汗的求贡一概拒绝，并多次诛杀俺答求贡使者，俺答汗遂以武力相威胁，多次南下犯边，烧杀掳掠，结果酿成了“庚戌之变”。即使在俺答汗兵临城下的时候，仍然在做与明朝通贡的努力，但以嘉靖皇帝为首的顽固派非但拒绝所请，甚至关闭了马市。明蒙贸易中断，双方战争又持续了20年。蒙古加上倭寇，这就是明朝特有的“北虏南倭”问题。与海疆一样，问题最终解决也是由明穆宗调整政策，改“堵”为“疏”，于隆庆五年（1571）与俺答汗达成和议并恢复贸易，史称“隆庆和议”。明朝应对外部侵扰的举措，无论是海禁、大规模修筑长城还是拒绝求贡贸易，都是简单粗暴的“堵”的思路，都反映了其保守内敛的性格，都与时代发展潮流相背离。</w:t>
      </w:r>
    </w:p>
    <w:p w14:paraId="141292C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第二，既然隆庆年间（1567—1572）已经调整了对外政策，但为何短短80年后明朝就走向灭亡？因为所谓的调整是被动的、局部的，并不代表明廷真正意识到世界发展潮流并主动顺应它。教材在第二子目提供了相关依据：“16世纪中期，葡萄牙人以晾晒货物为由，贿赂香山县地方官获得了在濠镜澳的租住权。”西方殖民者通过“贿赂”就轻而易举地得到澳门租住权，可知明廷是缺乏近代主权意识的，并不清楚葡萄牙人的真正意图。“史料阅读”栏目介绍了明朝后期人沈德符将荷兰称为“红毛夷”，认识到荷兰的火器制造技术已经明显领先于中国；但又指出“红毛夷自古不通中国，亦不知其国何名，其地在何所”。沈德符属于那个时代的精英，他对西方的认识仅此而已，那么其他国人对世界了解的水平就更可想而知了。</w:t>
      </w:r>
    </w:p>
    <w:p w14:paraId="78B2596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而且，正是对外政策的调整在一定程度上加速了大明王朝的灭亡。隆庆开关后，中外贸易迅猛发展，大量白银流入中国，大大刺激了国内商品经济的发展并推动政府进行改革，传统财政体系全面向以白银货币为主转型。但中国缺乏银矿，这就导致中国经济在相当程度上依赖白银输入。明代中国外来白银的主要来源是日本、美洲和欧洲等其他地方。17世纪前期，在美洲银矿产量下降、荷兰崛起打击了西班牙和葡萄牙原来贸易航线、日本实行锁国政策和欧洲三十年战争等诸多因素冲击下，三条白银输入渠道几乎被切断。明朝最后的24年处于风雨飘摇中，北边军饷更是有增无减。明朝财政不断增加的货币需求，遭遇的是日益收缩的货币供应量，市场萧条，经济衰退。这是货币危机，是财政危机，同时也是社会危机，更是政治统治危机，为大明王朝的覆没加上了最后一根稻草。16—17世纪，随着早期经济全球化的发展，“军事技术的全球化”也在发展，即某项先进军事技术出现后，很快传遍世界许多地区，形成全球性的互动。这使得一些中小国家和地区政权也能够建立和拥有相当强大的军力，向大国进行挑战，从而大大改变了东亚地区的力量平衡。前文已述，明朝人已认识到西方火器的先进；事实上，明朝“积极引进并加以改进和创新，使得中国火器技术水平进一步提高，从而与西欧水平大体相当”。而在与明朝的战争中，后金也发现了火器的优越性并积极引进采纳。到了崇祯末年，清军火炮在数量和质量上都超过明军，成为当时东亚世界最强大的武装力量，加速了明清易代。可见，早期经济、军事全球化是明朝灭亡的重要背景。至此，第二字目和第三子目的关系也得以明了。</w:t>
      </w:r>
    </w:p>
    <w:p w14:paraId="00EE171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关于明朝灭亡的原因，课本的叙述是“在清朝崛起之际，明朝政治黑暗，天灾不断，农民起义蜂起，统治摇摇欲坠”。这属于传统专制王朝的内部痼疾，但明朝又遇到了由近代早期全球化带来的一系列外来新问题，正是在这新旧、内外问题的相互作用之下，大明王朝走向了灭亡。这样三个子目的联系也建立起来了，从加强皇权出发到从海陆边疆的治理看明朝的强盛与危机到最后的灭亡，整个教学形成了一个完整的闭环。</w:t>
      </w:r>
    </w:p>
    <w:p w14:paraId="7BFB7A9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综上，本课三个子目之间的逻辑结构有两层，第一层是由内（专制皇权的加强）而外（边疆问题和外部环境），第二层是对外关系中从海疆到陆疆。先内后外，是因为皇权强化是对外关系的政治和制度背景，符合外交是内政延伸的一般规律。对外关系的空间顺序先海疆后陆疆，一是为了从陆疆顺利过渡到明清易代，二是旨在突出海防这个传统封建王朝遭遇的新问题，因此关于海疆这一子目的叙述也最为丰富，不仅插叙了地图和人物图像，还设置了“思考点”和“史料阅读”两大栏目，所占篇幅最大。整体结构与标题“从明朝建立到清军入关”基本对应。</w:t>
      </w:r>
    </w:p>
    <w:p w14:paraId="3A9CA09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rStyle w:val="5"/>
          <w:bdr w:val="none" w:color="auto" w:sz="0" w:space="0"/>
        </w:rPr>
        <w:t>（二）构建故事的整体意义，明确本课的内容主旨</w:t>
      </w:r>
    </w:p>
    <w:p w14:paraId="22F1E8E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在前文分析的基础上，我们可以构建出本课的内容主旨：布衣皇帝朱元璋为大明王朝作了一系列的“顶层设计”（“祖制”）——废除丞相制度严格防范宦官干政、实施严厉的海禁政策和修筑长城防御体系；但随着历史的发展，这些“祖制”都遭到了“背叛”：明朝宦官干政严重，还走向制度化，其本质是废除丞相制度后专制皇权高度发展的产物；严厉的海禁政策到了隆庆年间也被迫调整，其动因是大航海时代全球一体化浪潮对朝贡体制的冲击；面对蒙古，从武力防守转向和议开市才换来长期和平。在这三个“顶层设计与反设计”中，我们看到了大明王朝的两张面孔——作为传统中原王朝的大明和作为近代早期全球一体化一分子的大明。作为传统中原王朝的大明，皇权强化、国力强盛但又保守内敛、腐败黑暗，与此前的中原王朝相类似；作为近代早期全球一体化一份子的大明，开放和平、经济繁荣但又危机四伏、加速灭亡，又迥异于历史上其他王朝。这两张面孔碰撞、交叠，又呈现出多重面相。此时的中国已经不仅属于中国和东亚，还属于世界。这为此后中国历史的发展埋下了伏笔，预示着传统的中国即将走上一条复杂、艰辛的近代化之路。同时也启迪着后人要从多维度来认识历史。以上就是朱元璋的“顶层设计”和“反设计”这个故事背后的历史深意。</w:t>
      </w:r>
    </w:p>
    <w:p w14:paraId="09136EB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整体历史叙事的意义超过单个陈述意义的总和。从本课的内容主旨中，我们加深了对明朝历史的认识。</w:t>
      </w:r>
    </w:p>
    <w:p w14:paraId="120A52F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 </w:t>
      </w:r>
    </w:p>
    <w:p w14:paraId="26E2341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以上就是对“基于叙事的教材文本解读框架”的运用案例。运用框架的过程就是向教材提问、与编者对话的过程；通过对话，帮助我们打开教材背后更广阔的史学背景，从而激发更为丰富的教学灵感。教材每一课的文本叙事都有所不同，本框架只是提供一个最基本的解读抓手，实际运用时需灵活变通。也期待同行同道们的批评完善。</w:t>
      </w:r>
    </w:p>
    <w:p w14:paraId="115C3860">
      <w:pPr>
        <w:keepNext w:val="0"/>
        <w:keepLines w:val="0"/>
        <w:widowControl/>
        <w:suppressLineNumbers w:val="0"/>
        <w:jc w:val="left"/>
      </w:pPr>
    </w:p>
    <w:p w14:paraId="18C62E7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pPr>
      <w:r>
        <w:rPr>
          <w:rFonts w:hint="eastAsia" w:ascii="Microsoft YaHei UI" w:hAnsi="Microsoft YaHei UI" w:eastAsia="Microsoft YaHei UI" w:cs="Microsoft YaHei UI"/>
          <w:i w:val="0"/>
          <w:iCs w:val="0"/>
          <w:caps w:val="0"/>
          <w:color w:val="3E3E3E"/>
          <w:spacing w:val="8"/>
          <w:sz w:val="24"/>
          <w:szCs w:val="24"/>
          <w:bdr w:val="none" w:color="auto" w:sz="0" w:space="0"/>
          <w:shd w:val="clear" w:fill="FFFFFF"/>
        </w:rPr>
        <w:t>本文原载于《历史教学》（上半月刊）2024年第11期</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44C4A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webp"/><Relationship Id="rId4" Type="http://schemas.openxmlformats.org/officeDocument/2006/relationships/image" Target="media/image1.webp"/><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2024-12-24T12:01:19Z</dcterms:created>
  <dc:creator>王晶</dc:creator>
  <cp:lastModifiedBy>王晶</cp:lastModifiedBy>
  <dcterms:modified xsi:type="dcterms:W3CDTF">2024-12-24T12:01:37Z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4FCAD6E114B04BF081A2E107DE05A0CD_12</vt:lpwstr>
  </property>
</Properties>
</file>