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00" w:lineRule="exact"/>
        <w:ind w:firstLine="198" w:firstLineChars="71"/>
        <w:rPr>
          <w:rFonts w:hint="eastAsia" w:ascii="仿宋_GB2312" w:hAnsi="宋体" w:cs="宋体"/>
          <w:bCs/>
          <w:color w:val="000000"/>
          <w:kern w:val="0"/>
          <w:sz w:val="28"/>
          <w:szCs w:val="28"/>
        </w:rPr>
      </w:pPr>
      <w:r>
        <w:rPr>
          <w:rFonts w:hint="eastAsia" w:ascii="仿宋_GB2312" w:hAnsi="宋体" w:cs="宋体"/>
          <w:bCs/>
          <w:color w:val="000000"/>
          <w:kern w:val="0"/>
          <w:sz w:val="28"/>
          <w:szCs w:val="28"/>
        </w:rPr>
        <w:t>附件</w:t>
      </w:r>
      <w:r>
        <w:rPr>
          <w:rFonts w:hint="eastAsia" w:ascii="仿宋_GB2312" w:hAnsi="宋体" w:cs="宋体"/>
          <w:bCs/>
          <w:color w:val="000000"/>
          <w:kern w:val="0"/>
          <w:sz w:val="28"/>
          <w:szCs w:val="28"/>
          <w:lang w:val="en-US" w:eastAsia="zh-CN"/>
        </w:rPr>
        <w:t>4</w:t>
      </w:r>
      <w:r>
        <w:rPr>
          <w:rFonts w:hint="eastAsia" w:ascii="仿宋_GB2312" w:hAnsi="宋体" w:cs="宋体"/>
          <w:bCs/>
          <w:color w:val="000000"/>
          <w:kern w:val="0"/>
          <w:sz w:val="28"/>
          <w:szCs w:val="28"/>
        </w:rPr>
        <w:t>：</w:t>
      </w:r>
    </w:p>
    <w:p>
      <w:pPr>
        <w:widowControl/>
        <w:spacing w:line="500" w:lineRule="exact"/>
        <w:ind w:firstLine="801"/>
        <w:jc w:val="center"/>
        <w:rPr>
          <w:rFonts w:hint="eastAsia" w:hAnsi="华文中宋" w:eastAsia="华文中宋"/>
          <w:b/>
          <w:bCs/>
          <w:color w:val="000000"/>
          <w:kern w:val="0"/>
          <w:sz w:val="40"/>
          <w:szCs w:val="40"/>
        </w:rPr>
      </w:pPr>
      <w:r>
        <w:rPr>
          <w:rFonts w:hint="eastAsia" w:hAnsi="华文中宋" w:eastAsia="华文中宋"/>
          <w:b/>
          <w:bCs/>
          <w:color w:val="000000"/>
          <w:kern w:val="0"/>
          <w:sz w:val="40"/>
          <w:szCs w:val="40"/>
        </w:rPr>
        <w:t>电子材料提交清单</w:t>
      </w:r>
    </w:p>
    <w:p>
      <w:pPr>
        <w:widowControl/>
        <w:spacing w:line="500" w:lineRule="exact"/>
        <w:ind w:firstLine="801"/>
        <w:jc w:val="left"/>
        <w:rPr>
          <w:rFonts w:hint="eastAsia" w:hAnsi="华文中宋" w:eastAsia="华文中宋"/>
          <w:b w:val="0"/>
          <w:bCs w:val="0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hAnsi="华文中宋" w:eastAsia="华文中宋"/>
          <w:b w:val="0"/>
          <w:bCs w:val="0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本次认定开通全程网办，申请人网报时</w:t>
      </w:r>
      <w:r>
        <w:rPr>
          <w:rFonts w:hint="eastAsia" w:hAnsi="华文中宋" w:eastAsia="华文中宋"/>
          <w:b w:val="0"/>
          <w:bCs w:val="0"/>
          <w:color w:val="FF0000"/>
          <w:kern w:val="0"/>
          <w:sz w:val="32"/>
          <w:szCs w:val="32"/>
          <w:lang w:val="en-US" w:eastAsia="zh-CN"/>
        </w:rPr>
        <w:t>如果</w:t>
      </w:r>
      <w:r>
        <w:rPr>
          <w:rFonts w:hint="eastAsia" w:hAnsi="华文中宋" w:eastAsia="华文中宋"/>
          <w:b w:val="0"/>
          <w:bCs w:val="0"/>
          <w:color w:val="FF0000"/>
          <w:kern w:val="0"/>
          <w:sz w:val="32"/>
          <w:szCs w:val="32"/>
        </w:rPr>
        <w:t>显示核验不通过</w:t>
      </w:r>
      <w:r>
        <w:rPr>
          <w:rFonts w:hint="eastAsia" w:hAnsi="华文中宋" w:eastAsia="华文中宋"/>
          <w:b w:val="0"/>
          <w:bCs w:val="0"/>
          <w:color w:val="FF0000"/>
          <w:kern w:val="0"/>
          <w:sz w:val="32"/>
          <w:szCs w:val="32"/>
          <w:lang w:eastAsia="zh-CN"/>
        </w:rPr>
        <w:t>，</w:t>
      </w:r>
      <w:r>
        <w:rPr>
          <w:rFonts w:hint="eastAsia" w:hAnsi="华文中宋" w:eastAsia="华文中宋"/>
          <w:b w:val="0"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还需</w:t>
      </w:r>
      <w:r>
        <w:rPr>
          <w:rFonts w:hint="eastAsia" w:hAnsi="华文中宋" w:eastAsia="华文中宋"/>
          <w:b w:val="0"/>
          <w:bCs w:val="0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上传相应资料（仅PDF格式），申请人无须现场确认。</w:t>
      </w:r>
    </w:p>
    <w:p>
      <w:pPr>
        <w:spacing w:line="500" w:lineRule="exact"/>
        <w:ind w:firstLine="440" w:firstLineChars="0"/>
        <w:jc w:val="both"/>
        <w:rPr>
          <w:rFonts w:hint="eastAsia" w:ascii="仿宋_GB2312" w:hAnsi="仿宋_GB2312" w:eastAsia="仿宋_GB2312" w:cs="仿宋_GB2312"/>
          <w:b/>
          <w:bCs/>
          <w:color w:val="000000"/>
          <w:sz w:val="21"/>
          <w:szCs w:val="21"/>
        </w:rPr>
      </w:pPr>
    </w:p>
    <w:p>
      <w:pPr>
        <w:spacing w:line="500" w:lineRule="exact"/>
        <w:ind w:firstLine="440" w:firstLineChars="0"/>
        <w:jc w:val="both"/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</w:rPr>
        <w:t>一、户籍证明/居住证/学籍证明/人事关系证明等材料扫描件（据自身情况选择其中一项，上传至全程网办补充材料中“</w:t>
      </w:r>
      <w:r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  <w:lang w:eastAsia="zh-CN"/>
        </w:rPr>
        <w:t>身份证明</w:t>
      </w:r>
      <w:r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</w:rPr>
        <w:t>”一栏）：</w:t>
      </w:r>
    </w:p>
    <w:p>
      <w:pPr>
        <w:spacing w:line="500" w:lineRule="exact"/>
        <w:ind w:firstLine="440" w:firstLineChars="0"/>
        <w:rPr>
          <w:rFonts w:hint="eastAsia"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</w:rPr>
        <w:t>1.户籍</w:t>
      </w:r>
      <w:r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  <w:lang w:eastAsia="zh-CN"/>
        </w:rPr>
        <w:t>材料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（由</w:t>
      </w:r>
      <w:r>
        <w:rPr>
          <w:rFonts w:hint="eastAsia" w:ascii="仿宋_GB2312" w:hAnsi="仿宋_GB2312" w:cs="仿宋_GB2312"/>
          <w:color w:val="000000"/>
          <w:sz w:val="28"/>
          <w:szCs w:val="28"/>
          <w:lang w:val="en-US" w:eastAsia="zh-CN"/>
        </w:rPr>
        <w:t>浦江县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公安部门签发的户口本首页和本人页）；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eastAsia="zh-CN"/>
        </w:rPr>
        <w:t>以</w:t>
      </w: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户籍所在地在</w:t>
      </w:r>
      <w:r>
        <w:rPr>
          <w:rFonts w:hint="eastAsia" w:ascii="仿宋_GB2312" w:hAnsi="仿宋_GB2312" w:cs="仿宋_GB2312"/>
          <w:color w:val="000000"/>
          <w:kern w:val="0"/>
          <w:sz w:val="28"/>
          <w:szCs w:val="28"/>
          <w:lang w:val="en-US" w:eastAsia="zh-CN"/>
        </w:rPr>
        <w:t>浦江县</w:t>
      </w: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  <w:lang w:eastAsia="zh-CN"/>
        </w:rPr>
        <w:t>报名</w:t>
      </w: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的</w:t>
      </w: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  <w:lang w:eastAsia="zh-CN"/>
        </w:rPr>
        <w:t>社会人员上传。</w:t>
      </w:r>
    </w:p>
    <w:p>
      <w:pPr>
        <w:spacing w:line="500" w:lineRule="exact"/>
        <w:ind w:firstLine="440" w:firstLineChars="0"/>
        <w:rPr>
          <w:rFonts w:hint="eastAsia"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</w:rPr>
        <w:t>2.居住证（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由</w:t>
      </w:r>
      <w:r>
        <w:rPr>
          <w:rFonts w:hint="eastAsia" w:ascii="仿宋_GB2312" w:hAnsi="仿宋_GB2312" w:cs="仿宋_GB2312"/>
          <w:color w:val="000000"/>
          <w:sz w:val="28"/>
          <w:szCs w:val="28"/>
          <w:lang w:val="en-US" w:eastAsia="zh-CN"/>
        </w:rPr>
        <w:t>浦江县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公安部门签发的有效期内的“浙江省居住证”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需显示居住地址及签注时间详细信息，可在浙里办APP中下载”）；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eastAsia="zh-CN"/>
        </w:rPr>
        <w:t>以居住证</w:t>
      </w: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在</w:t>
      </w:r>
      <w:r>
        <w:rPr>
          <w:rFonts w:hint="eastAsia" w:ascii="仿宋_GB2312" w:hAnsi="仿宋_GB2312" w:cs="仿宋_GB2312"/>
          <w:color w:val="000000"/>
          <w:kern w:val="0"/>
          <w:sz w:val="28"/>
          <w:szCs w:val="28"/>
          <w:lang w:val="en-US" w:eastAsia="zh-CN"/>
        </w:rPr>
        <w:t>浦江县</w:t>
      </w: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  <w:lang w:eastAsia="zh-CN"/>
        </w:rPr>
        <w:t>报名</w:t>
      </w: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的</w:t>
      </w: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  <w:lang w:eastAsia="zh-CN"/>
        </w:rPr>
        <w:t>社会人员上传。</w:t>
      </w:r>
    </w:p>
    <w:p>
      <w:pPr>
        <w:spacing w:line="500" w:lineRule="exact"/>
        <w:ind w:firstLine="0" w:firstLineChars="0"/>
        <w:rPr>
          <w:rFonts w:hint="eastAsia"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　　</w:t>
      </w:r>
      <w:r>
        <w:rPr>
          <w:rFonts w:hint="eastAsia" w:ascii="仿宋_GB2312" w:hAnsi="仿宋_GB2312" w:cs="仿宋_GB2312"/>
          <w:b/>
          <w:bCs/>
          <w:color w:val="000000"/>
          <w:sz w:val="28"/>
          <w:szCs w:val="28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</w:rPr>
        <w:t>.人事关系</w:t>
      </w:r>
      <w:r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  <w:lang w:eastAsia="zh-CN"/>
        </w:rPr>
        <w:t>材料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（由所属部队或单位的组织人事部门出具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eastAsia="zh-CN"/>
        </w:rPr>
        <w:t>材料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）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eastAsia="zh-CN"/>
        </w:rPr>
        <w:t>；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仅驻</w:t>
      </w:r>
      <w:r>
        <w:rPr>
          <w:rFonts w:hint="eastAsia" w:ascii="仿宋_GB2312" w:hAnsi="仿宋_GB2312" w:cs="仿宋_GB2312"/>
          <w:color w:val="000000"/>
          <w:sz w:val="28"/>
          <w:szCs w:val="28"/>
          <w:lang w:val="en-US" w:eastAsia="zh-CN"/>
        </w:rPr>
        <w:t>浦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部队现役军人和现役武警提供。</w:t>
      </w:r>
    </w:p>
    <w:p>
      <w:pPr>
        <w:spacing w:line="500" w:lineRule="exact"/>
        <w:ind w:firstLine="440"/>
        <w:rPr>
          <w:rFonts w:hint="eastAsia"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</w:rPr>
        <w:t>二、其他材料（如有多项材料，合成一个PDF文件后上传至全程网办补充材料中“其</w:t>
      </w:r>
      <w:r>
        <w:rPr>
          <w:rFonts w:hint="eastAsia" w:ascii="仿宋_GB2312" w:hAnsi="仿宋_GB2312" w:cs="仿宋_GB2312"/>
          <w:b/>
          <w:bCs/>
          <w:color w:val="000000"/>
          <w:sz w:val="28"/>
          <w:szCs w:val="28"/>
          <w:lang w:eastAsia="zh-CN"/>
        </w:rPr>
        <w:t>他</w:t>
      </w:r>
      <w:r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</w:rPr>
        <w:t>材料”一栏）：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　　</w:t>
      </w:r>
    </w:p>
    <w:p>
      <w:pPr>
        <w:spacing w:line="500" w:lineRule="exact"/>
        <w:ind w:firstLine="440"/>
        <w:rPr>
          <w:rFonts w:hint="eastAsia"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</w:rPr>
        <w:t>1.</w:t>
      </w:r>
      <w:r>
        <w:rPr>
          <w:rFonts w:hint="eastAsia" w:ascii="仿宋_GB2312" w:hAnsi="仿宋_GB2312" w:cs="仿宋_GB2312"/>
          <w:b/>
          <w:bCs/>
          <w:color w:val="000000"/>
          <w:sz w:val="28"/>
          <w:szCs w:val="28"/>
          <w:lang w:val="en-US" w:eastAsia="zh-CN"/>
        </w:rPr>
        <w:t>普通话核验不通过，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8"/>
          <w:szCs w:val="28"/>
        </w:rPr>
        <w:t>普通话水平测试等级证书核验不通过的，需上传证书原件及佐证材料</w:t>
      </w:r>
      <w:r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</w:rPr>
        <w:t>（中国教师资格网核验未通过的申请人提供）。</w:t>
      </w:r>
    </w:p>
    <w:p>
      <w:pPr>
        <w:rPr>
          <w:rFonts w:hint="eastAsia" w:ascii="方正仿宋_GB2312" w:hAnsi="方正仿宋_GB2312" w:eastAsia="方正仿宋_GB2312" w:cs="方正仿宋_GB2312"/>
          <w:b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</w:rPr>
        <w:t>2.</w:t>
      </w:r>
      <w:r>
        <w:rPr>
          <w:rFonts w:hint="eastAsia" w:ascii="仿宋_GB2312" w:hAnsi="仿宋_GB2312" w:cs="仿宋_GB2312"/>
          <w:b/>
          <w:bCs/>
          <w:color w:val="000000"/>
          <w:sz w:val="28"/>
          <w:szCs w:val="28"/>
          <w:lang w:val="en-US" w:eastAsia="zh-CN"/>
        </w:rPr>
        <w:t>学历证书核验不通过的，</w:t>
      </w:r>
      <w:r>
        <w:rPr>
          <w:rFonts w:hint="eastAsia" w:ascii="方正仿宋_GB2312" w:hAnsi="方正仿宋_GB2312" w:eastAsia="方正仿宋_GB2312" w:cs="方正仿宋_GB2312"/>
          <w:kern w:val="2"/>
          <w:sz w:val="28"/>
          <w:szCs w:val="28"/>
          <w:lang w:val="en-US" w:eastAsia="zh-CN" w:bidi="ar-SA"/>
        </w:rPr>
        <w:t>请上传提交学历证书原件和《教育部学历在线验证报告》；港澳台学历上传提交学历证书和</w:t>
      </w:r>
      <w:bookmarkStart w:id="0" w:name="_GoBack"/>
      <w:r>
        <w:rPr>
          <w:rFonts w:hint="eastAsia" w:ascii="方正仿宋_GB2312" w:hAnsi="方正仿宋_GB2312" w:eastAsia="方正仿宋_GB2312" w:cs="方正仿宋_GB2312"/>
          <w:kern w:val="2"/>
          <w:sz w:val="28"/>
          <w:szCs w:val="28"/>
          <w:lang w:val="en-US" w:eastAsia="zh-CN" w:bidi="ar-SA"/>
        </w:rPr>
        <w:t>教育部留学服务中心出具的《港澳台学历学位认证书》</w:t>
      </w:r>
      <w:bookmarkEnd w:id="0"/>
      <w:r>
        <w:rPr>
          <w:rFonts w:hint="eastAsia" w:ascii="方正仿宋_GB2312" w:hAnsi="方正仿宋_GB2312" w:eastAsia="方正仿宋_GB2312" w:cs="方正仿宋_GB2312"/>
          <w:kern w:val="2"/>
          <w:sz w:val="28"/>
          <w:szCs w:val="28"/>
          <w:lang w:val="en-US" w:eastAsia="zh-CN" w:bidi="ar-SA"/>
        </w:rPr>
        <w:t>；国外学历应提交学历证书和教育部留学服务中心出具的《国外学历学位认证书》</w:t>
      </w:r>
      <w:r>
        <w:rPr>
          <w:rFonts w:hint="eastAsia" w:ascii="方正仿宋_GB2312" w:hAnsi="方正仿宋_GB2312" w:eastAsia="方正仿宋_GB2312" w:cs="方正仿宋_GB2312"/>
          <w:b/>
          <w:bCs/>
          <w:kern w:val="2"/>
          <w:sz w:val="28"/>
          <w:szCs w:val="28"/>
          <w:lang w:val="en-US" w:eastAsia="zh-CN" w:bidi="ar-SA"/>
        </w:rPr>
        <w:t>（中国教师资格网核验未通过的申请人提供）。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00"/>
      </w:pPr>
      <w:r>
        <w:separator/>
      </w:r>
    </w:p>
  </w:endnote>
  <w:endnote w:type="continuationSeparator" w:id="1">
    <w:p>
      <w:pPr>
        <w:spacing w:line="240" w:lineRule="auto"/>
        <w:ind w:firstLine="60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仿宋_GB2312">
    <w:altName w:val="仿宋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  <w:ind w:firstLine="600"/>
      </w:pPr>
      <w:r>
        <w:separator/>
      </w:r>
    </w:p>
  </w:footnote>
  <w:footnote w:type="continuationSeparator" w:id="1">
    <w:p>
      <w:pPr>
        <w:spacing w:line="360" w:lineRule="auto"/>
        <w:ind w:firstLine="60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FDE0204"/>
    <w:rsid w:val="003625E5"/>
    <w:rsid w:val="02414917"/>
    <w:rsid w:val="12361843"/>
    <w:rsid w:val="2B147B3C"/>
    <w:rsid w:val="4E5C130D"/>
    <w:rsid w:val="514110AF"/>
    <w:rsid w:val="59AA6BF4"/>
    <w:rsid w:val="5DC13D0D"/>
    <w:rsid w:val="5FDE0204"/>
    <w:rsid w:val="6EF839E3"/>
    <w:rsid w:val="71A75115"/>
    <w:rsid w:val="72363AD7"/>
    <w:rsid w:val="72826F06"/>
    <w:rsid w:val="7DEE1724"/>
    <w:rsid w:val="7E9368E1"/>
    <w:rsid w:val="E9EF5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ind w:firstLine="200" w:firstLineChars="200"/>
    </w:pPr>
    <w:rPr>
      <w:rFonts w:ascii="Times New Roman" w:hAnsi="Times New Roman" w:eastAsia="仿宋_GB2312" w:cs="Times New Roman"/>
      <w:kern w:val="2"/>
      <w:sz w:val="30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</w:pPr>
    <w:rPr>
      <w:rFonts w:eastAsia="宋体"/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 w:val="zh-CN"/>
    </w:rPr>
  </w:style>
  <w:style w:type="paragraph" w:styleId="4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Office_11.8.2.11734_F1E327BC-269C-435d-A152-05C5408002CA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2023-09-27T18:20:00Z</dcterms:created>
  <dc:creator>查无此人</dc:creator>
  <cp:lastModifiedBy>黄俊锋</cp:lastModifiedBy>
  <dcterms:modified xsi:type="dcterms:W3CDTF">2025-03-31T02:45:40Z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2052-11.8.2.11734</vt:lpwstr>
  </property>
  <property fmtid="{D5CDD505-2E9C-101B-9397-08002B2CF9AE}" pid="3" name="ICV">
    <vt:lpwstr>9A8E42AA6C95462AB27D52BD37843407</vt:lpwstr>
  </property>
</Properties>
</file>